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2473A">
      <w:pPr>
        <w:spacing w:line="320" w:lineRule="exact"/>
        <w:rPr>
          <w:rFonts w:ascii="Times New Roman" w:hAnsi="Times New Roman" w:eastAsia="黑体" w:cs="宋体"/>
          <w:bCs/>
          <w:sz w:val="32"/>
          <w:szCs w:val="32"/>
        </w:rPr>
      </w:pPr>
      <w:r>
        <w:rPr>
          <w:rFonts w:hint="eastAsia" w:ascii="Times New Roman" w:hAnsi="Times New Roman" w:eastAsia="黑体" w:cs="宋体"/>
          <w:bCs/>
          <w:sz w:val="32"/>
          <w:szCs w:val="32"/>
        </w:rPr>
        <w:t>附件1</w:t>
      </w:r>
    </w:p>
    <w:p w14:paraId="5B8F0E69">
      <w:pPr>
        <w:keepNext w:val="0"/>
        <w:keepLines w:val="0"/>
        <w:pageBreakBefore w:val="0"/>
        <w:widowControl w:val="0"/>
        <w:kinsoku/>
        <w:wordWrap/>
        <w:overflowPunct/>
        <w:topLinePunct w:val="0"/>
        <w:autoSpaceDE/>
        <w:autoSpaceDN/>
        <w:bidi w:val="0"/>
        <w:adjustRightInd/>
        <w:snapToGrid/>
        <w:spacing w:after="313" w:afterLines="100" w:line="320" w:lineRule="exact"/>
        <w:jc w:val="center"/>
        <w:textAlignment w:val="auto"/>
        <w:rPr>
          <w:rFonts w:ascii="Times New Roman" w:hAnsi="Times New Roman" w:eastAsia="黑体" w:cs="宋体"/>
          <w:bCs/>
          <w:sz w:val="32"/>
          <w:szCs w:val="32"/>
        </w:rPr>
      </w:pPr>
      <w:r>
        <w:rPr>
          <w:rFonts w:hint="eastAsia" w:ascii="Times New Roman" w:hAnsi="Times New Roman" w:eastAsia="黑体" w:cs="宋体"/>
          <w:bCs/>
          <w:sz w:val="32"/>
          <w:szCs w:val="32"/>
        </w:rPr>
        <w:t>交通运输部珠江航务管理局“双随机”抽查事项清单（</w:t>
      </w:r>
      <w:r>
        <w:rPr>
          <w:rFonts w:ascii="Times New Roman" w:hAnsi="Times New Roman" w:eastAsia="黑体" w:cs="Times New Roman"/>
          <w:bCs/>
          <w:sz w:val="32"/>
          <w:szCs w:val="32"/>
        </w:rPr>
        <w:t>20</w:t>
      </w:r>
      <w:r>
        <w:rPr>
          <w:rFonts w:hint="default" w:ascii="Times New Roman" w:hAnsi="Times New Roman" w:eastAsia="黑体" w:cs="Times New Roman"/>
          <w:bCs/>
          <w:sz w:val="32"/>
          <w:szCs w:val="32"/>
        </w:rPr>
        <w:t>2</w:t>
      </w:r>
      <w:r>
        <w:rPr>
          <w:rFonts w:hint="default" w:ascii="Times New Roman" w:hAnsi="Times New Roman" w:eastAsia="黑体" w:cs="Times New Roman"/>
          <w:bCs/>
          <w:sz w:val="32"/>
          <w:szCs w:val="32"/>
          <w:lang w:val="en-US" w:eastAsia="zh-CN"/>
        </w:rPr>
        <w:t>5</w:t>
      </w:r>
      <w:r>
        <w:rPr>
          <w:rFonts w:hint="eastAsia" w:ascii="Times New Roman" w:hAnsi="Times New Roman" w:eastAsia="黑体" w:cs="宋体"/>
          <w:bCs/>
          <w:sz w:val="32"/>
          <w:szCs w:val="32"/>
        </w:rPr>
        <w:t>年）</w:t>
      </w:r>
    </w:p>
    <w:tbl>
      <w:tblPr>
        <w:tblStyle w:val="8"/>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68"/>
        <w:gridCol w:w="693"/>
        <w:gridCol w:w="960"/>
        <w:gridCol w:w="792"/>
        <w:gridCol w:w="819"/>
        <w:gridCol w:w="2346"/>
        <w:gridCol w:w="992"/>
        <w:gridCol w:w="2554"/>
        <w:gridCol w:w="3825"/>
        <w:gridCol w:w="1085"/>
      </w:tblGrid>
      <w:tr w14:paraId="519A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jc w:val="center"/>
        </w:trPr>
        <w:tc>
          <w:tcPr>
            <w:tcW w:w="562" w:type="dxa"/>
            <w:noWrap w:val="0"/>
            <w:vAlign w:val="center"/>
          </w:tcPr>
          <w:p w14:paraId="6F5A00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序号</w:t>
            </w:r>
          </w:p>
        </w:tc>
        <w:tc>
          <w:tcPr>
            <w:tcW w:w="768" w:type="dxa"/>
            <w:noWrap w:val="0"/>
            <w:vAlign w:val="center"/>
          </w:tcPr>
          <w:p w14:paraId="4122F4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抽查事项名称</w:t>
            </w:r>
          </w:p>
        </w:tc>
        <w:tc>
          <w:tcPr>
            <w:tcW w:w="693" w:type="dxa"/>
            <w:noWrap w:val="0"/>
            <w:vAlign w:val="center"/>
          </w:tcPr>
          <w:p w14:paraId="0FF247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事项</w:t>
            </w:r>
          </w:p>
          <w:p w14:paraId="759C74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分类</w:t>
            </w:r>
          </w:p>
        </w:tc>
        <w:tc>
          <w:tcPr>
            <w:tcW w:w="960" w:type="dxa"/>
            <w:noWrap w:val="0"/>
            <w:vAlign w:val="center"/>
          </w:tcPr>
          <w:p w14:paraId="4ACF5A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w:t>
            </w:r>
          </w:p>
          <w:p w14:paraId="31FDD7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对象</w:t>
            </w:r>
          </w:p>
        </w:tc>
        <w:tc>
          <w:tcPr>
            <w:tcW w:w="792" w:type="dxa"/>
            <w:noWrap w:val="0"/>
            <w:vAlign w:val="center"/>
          </w:tcPr>
          <w:p w14:paraId="017363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抽查方式</w:t>
            </w:r>
          </w:p>
        </w:tc>
        <w:tc>
          <w:tcPr>
            <w:tcW w:w="819" w:type="dxa"/>
            <w:noWrap w:val="0"/>
            <w:vAlign w:val="center"/>
          </w:tcPr>
          <w:p w14:paraId="764518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抽查部门</w:t>
            </w:r>
          </w:p>
        </w:tc>
        <w:tc>
          <w:tcPr>
            <w:tcW w:w="2346" w:type="dxa"/>
            <w:noWrap w:val="0"/>
            <w:vAlign w:val="center"/>
          </w:tcPr>
          <w:p w14:paraId="275E8E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抽查依据</w:t>
            </w:r>
          </w:p>
        </w:tc>
        <w:tc>
          <w:tcPr>
            <w:tcW w:w="992" w:type="dxa"/>
            <w:noWrap w:val="0"/>
            <w:vAlign w:val="center"/>
          </w:tcPr>
          <w:p w14:paraId="78B819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w:t>
            </w:r>
          </w:p>
          <w:p w14:paraId="30EC77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内容</w:t>
            </w:r>
          </w:p>
        </w:tc>
        <w:tc>
          <w:tcPr>
            <w:tcW w:w="2554" w:type="dxa"/>
            <w:noWrap w:val="0"/>
            <w:vAlign w:val="center"/>
          </w:tcPr>
          <w:p w14:paraId="2F831C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抽查标准</w:t>
            </w:r>
          </w:p>
        </w:tc>
        <w:tc>
          <w:tcPr>
            <w:tcW w:w="3825" w:type="dxa"/>
            <w:noWrap w:val="0"/>
            <w:vAlign w:val="center"/>
          </w:tcPr>
          <w:p w14:paraId="390EA6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工作流程</w:t>
            </w:r>
          </w:p>
        </w:tc>
        <w:tc>
          <w:tcPr>
            <w:tcW w:w="1085" w:type="dxa"/>
            <w:noWrap w:val="0"/>
            <w:vAlign w:val="center"/>
          </w:tcPr>
          <w:p w14:paraId="528D85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抽查比例和频次</w:t>
            </w:r>
          </w:p>
        </w:tc>
      </w:tr>
      <w:tr w14:paraId="401F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9" w:hRule="atLeast"/>
          <w:jc w:val="center"/>
        </w:trPr>
        <w:tc>
          <w:tcPr>
            <w:tcW w:w="562" w:type="dxa"/>
            <w:noWrap w:val="0"/>
            <w:vAlign w:val="top"/>
          </w:tcPr>
          <w:p w14:paraId="59155EF6">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1</w:t>
            </w:r>
          </w:p>
        </w:tc>
        <w:tc>
          <w:tcPr>
            <w:tcW w:w="768" w:type="dxa"/>
            <w:noWrap w:val="0"/>
            <w:vAlign w:val="top"/>
          </w:tcPr>
          <w:p w14:paraId="118C56E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珠江水系省际客船和危险品船运输市场监督检查</w:t>
            </w:r>
          </w:p>
        </w:tc>
        <w:tc>
          <w:tcPr>
            <w:tcW w:w="693" w:type="dxa"/>
            <w:noWrap w:val="0"/>
            <w:vAlign w:val="top"/>
          </w:tcPr>
          <w:p w14:paraId="7BB8EC1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重点</w:t>
            </w:r>
          </w:p>
        </w:tc>
        <w:tc>
          <w:tcPr>
            <w:tcW w:w="960" w:type="dxa"/>
            <w:noWrap w:val="0"/>
            <w:vAlign w:val="top"/>
          </w:tcPr>
          <w:p w14:paraId="304C3E4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1.珠江水系省际危险品水路运输企业（见《珠江水系省际危险品水路运输企业主体名录库》）</w:t>
            </w:r>
          </w:p>
          <w:p w14:paraId="160730F2">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2.珠江水系省际危险品运输船舶（见《珠江水系水路省际危险品运输船舶主体名录库》）</w:t>
            </w:r>
          </w:p>
        </w:tc>
        <w:tc>
          <w:tcPr>
            <w:tcW w:w="792" w:type="dxa"/>
            <w:noWrap w:val="0"/>
            <w:vAlign w:val="top"/>
          </w:tcPr>
          <w:p w14:paraId="4BC31E1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5EE5439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243F7EF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1.《交通运输部关于交通运输部珠江航务管理局主要职责机构设置和人员编制的通知》（交人教发〔2017〕133号）。</w:t>
            </w:r>
          </w:p>
          <w:p w14:paraId="1A5115E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2.《国内水路运输管理条例》(中华人民共和国国务院令2012年第625号，2017年3月1日第二次修订）；</w:t>
            </w:r>
          </w:p>
          <w:p w14:paraId="01A999C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3.《国内水路运输管理规定》（交通运输部令2020年第4号）。</w:t>
            </w:r>
          </w:p>
          <w:p w14:paraId="3ECB763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4.《交通运输部关于公布交通运输部行政处罚、行政检查事项清单和收费目录清单的公告》（交通运输部公告2017年第34号）。</w:t>
            </w:r>
          </w:p>
          <w:p w14:paraId="7454D44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w:t>
            </w:r>
            <w:r>
              <w:rPr>
                <w:rFonts w:hint="eastAsia" w:ascii="Times New Roman" w:hAnsi="Times New Roman" w:eastAsia="宋体" w:cs="宋体"/>
                <w:sz w:val="18"/>
                <w:szCs w:val="18"/>
              </w:rPr>
              <w:t>.《交通运输部关于深化“双随机、一公开”监管工作的实施意见》（交法发〔2019〕85号）等。</w:t>
            </w:r>
          </w:p>
          <w:p w14:paraId="585D133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6</w:t>
            </w:r>
            <w:r>
              <w:rPr>
                <w:rFonts w:hint="eastAsia" w:ascii="Times New Roman" w:hAnsi="Times New Roman" w:eastAsia="宋体" w:cs="宋体"/>
                <w:sz w:val="18"/>
                <w:szCs w:val="18"/>
              </w:rPr>
              <w:t>.《珠江水系省际危险品运输经营人经营资质动态跟踪管理办法》（珠运管发〔2021〕111号）。</w:t>
            </w:r>
          </w:p>
        </w:tc>
        <w:tc>
          <w:tcPr>
            <w:tcW w:w="992" w:type="dxa"/>
            <w:noWrap w:val="0"/>
            <w:vAlign w:val="top"/>
          </w:tcPr>
          <w:p w14:paraId="237ACCD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eastAsia="zh-CN"/>
              </w:rPr>
              <w:t>运输</w:t>
            </w:r>
            <w:r>
              <w:rPr>
                <w:rFonts w:hint="eastAsia" w:ascii="Times New Roman" w:hAnsi="Times New Roman" w:eastAsia="宋体" w:cs="宋体"/>
                <w:sz w:val="18"/>
                <w:szCs w:val="18"/>
              </w:rPr>
              <w:t>企业资质、管理人员、</w:t>
            </w:r>
            <w:r>
              <w:rPr>
                <w:rFonts w:hint="eastAsia" w:ascii="Times New Roman" w:hAnsi="Times New Roman" w:eastAsia="宋体" w:cs="宋体"/>
                <w:sz w:val="18"/>
                <w:szCs w:val="18"/>
                <w:lang w:eastAsia="zh-CN"/>
              </w:rPr>
              <w:t>经营行为</w:t>
            </w:r>
            <w:r>
              <w:rPr>
                <w:rFonts w:hint="eastAsia" w:ascii="Times New Roman" w:hAnsi="Times New Roman" w:eastAsia="宋体" w:cs="宋体"/>
                <w:sz w:val="18"/>
                <w:szCs w:val="18"/>
              </w:rPr>
              <w:t>、安全管理</w:t>
            </w:r>
            <w:r>
              <w:rPr>
                <w:rFonts w:hint="eastAsia" w:ascii="Times New Roman" w:hAnsi="Times New Roman" w:eastAsia="宋体" w:cs="宋体"/>
                <w:sz w:val="18"/>
                <w:szCs w:val="18"/>
                <w:lang w:eastAsia="zh-CN"/>
              </w:rPr>
              <w:t>、应急管理</w:t>
            </w:r>
            <w:r>
              <w:rPr>
                <w:rFonts w:hint="eastAsia" w:ascii="Times New Roman" w:hAnsi="Times New Roman" w:eastAsia="宋体" w:cs="宋体"/>
                <w:sz w:val="18"/>
                <w:szCs w:val="18"/>
              </w:rPr>
              <w:t>等</w:t>
            </w:r>
            <w:r>
              <w:rPr>
                <w:rFonts w:hint="eastAsia" w:ascii="Times New Roman" w:hAnsi="Times New Roman" w:eastAsia="宋体" w:cs="宋体"/>
                <w:sz w:val="18"/>
                <w:szCs w:val="18"/>
                <w:lang w:eastAsia="zh-CN"/>
              </w:rPr>
              <w:t>情况</w:t>
            </w:r>
            <w:r>
              <w:rPr>
                <w:rFonts w:hint="eastAsia" w:ascii="Times New Roman" w:hAnsi="Times New Roman" w:eastAsia="宋体" w:cs="宋体"/>
                <w:sz w:val="18"/>
                <w:szCs w:val="18"/>
              </w:rPr>
              <w:t>。</w:t>
            </w:r>
          </w:p>
          <w:p w14:paraId="5D38013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eastAsia="zh-CN"/>
              </w:rPr>
              <w:t>船舶资质、安全管理、应急演练、隐患排查等情况。</w:t>
            </w:r>
          </w:p>
        </w:tc>
        <w:tc>
          <w:tcPr>
            <w:tcW w:w="2554" w:type="dxa"/>
            <w:noWrap w:val="0"/>
            <w:vAlign w:val="top"/>
          </w:tcPr>
          <w:p w14:paraId="51EC5DE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1.企业的国内水路运输经营许可证在有效期内，营业执照有效，安全与防污染符合证明及年度签注符合要求，自有运力达到有关规定要求。</w:t>
            </w:r>
          </w:p>
          <w:p w14:paraId="5E569B7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2.营运船舶的证书齐全并在有效期内。</w:t>
            </w:r>
          </w:p>
          <w:p w14:paraId="66171BF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3.按照规定配备管理人员和高级船员。</w:t>
            </w:r>
          </w:p>
          <w:p w14:paraId="3F76BB92">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4.</w:t>
            </w:r>
            <w:r>
              <w:rPr>
                <w:rFonts w:hint="eastAsia" w:ascii="Times New Roman" w:hAnsi="Times New Roman" w:eastAsia="宋体" w:cs="宋体"/>
                <w:sz w:val="18"/>
                <w:szCs w:val="18"/>
                <w:lang w:eastAsia="zh-CN"/>
              </w:rPr>
              <w:t>制定、执行</w:t>
            </w:r>
            <w:r>
              <w:rPr>
                <w:rFonts w:hint="eastAsia" w:ascii="Times New Roman" w:hAnsi="Times New Roman" w:eastAsia="宋体" w:cs="宋体"/>
                <w:sz w:val="18"/>
                <w:szCs w:val="18"/>
              </w:rPr>
              <w:t>安全生产管理制度、</w:t>
            </w:r>
            <w:r>
              <w:rPr>
                <w:rFonts w:hint="eastAsia" w:ascii="Times New Roman" w:hAnsi="Times New Roman" w:cs="宋体"/>
                <w:color w:val="000000"/>
                <w:sz w:val="18"/>
                <w:szCs w:val="18"/>
              </w:rPr>
              <w:t>安全生产费用管理制度</w:t>
            </w:r>
            <w:r>
              <w:rPr>
                <w:rFonts w:hint="eastAsia" w:ascii="Times New Roman" w:hAnsi="Times New Roman" w:eastAsia="宋体" w:cs="宋体"/>
                <w:sz w:val="18"/>
                <w:szCs w:val="18"/>
                <w:lang w:eastAsia="zh-CN"/>
              </w:rPr>
              <w:t>、安全生产教育和培训计划、事故隐患排查治理制度等。</w:t>
            </w:r>
          </w:p>
          <w:p w14:paraId="3D288D6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5.制定</w:t>
            </w:r>
            <w:r>
              <w:rPr>
                <w:rFonts w:hint="eastAsia" w:ascii="Times New Roman" w:hAnsi="Times New Roman" w:eastAsia="宋体" w:cs="宋体"/>
                <w:sz w:val="18"/>
                <w:szCs w:val="18"/>
              </w:rPr>
              <w:t>应急预案</w:t>
            </w:r>
            <w:r>
              <w:rPr>
                <w:rFonts w:hint="eastAsia" w:ascii="Times New Roman" w:hAnsi="Times New Roman" w:eastAsia="宋体" w:cs="宋体"/>
                <w:sz w:val="18"/>
                <w:szCs w:val="18"/>
                <w:lang w:eastAsia="zh-CN"/>
              </w:rPr>
              <w:t>，开展应急培训和应急演练</w:t>
            </w:r>
            <w:r>
              <w:rPr>
                <w:rFonts w:hint="eastAsia" w:ascii="Times New Roman" w:hAnsi="Times New Roman" w:eastAsia="宋体" w:cs="宋体"/>
                <w:sz w:val="18"/>
                <w:szCs w:val="18"/>
              </w:rPr>
              <w:t>等。</w:t>
            </w:r>
          </w:p>
        </w:tc>
        <w:tc>
          <w:tcPr>
            <w:tcW w:w="3825" w:type="dxa"/>
            <w:noWrap w:val="0"/>
            <w:vAlign w:val="top"/>
          </w:tcPr>
          <w:p w14:paraId="4095BBA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3F0AF7D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317B411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57F18F2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52BF2E0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2867F0B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5B1C299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69873F4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36CD894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4085D18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0F49A53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0391135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0BA4ABB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4062152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012B873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301A38F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每年抽查企业1-2次，抽查比例不低于10%；每年抽查船舶1-2次，抽查比例不低于5%。</w:t>
            </w:r>
          </w:p>
        </w:tc>
      </w:tr>
      <w:tr w14:paraId="467A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jc w:val="center"/>
        </w:trPr>
        <w:tc>
          <w:tcPr>
            <w:tcW w:w="562" w:type="dxa"/>
            <w:noWrap w:val="0"/>
            <w:vAlign w:val="top"/>
          </w:tcPr>
          <w:p w14:paraId="2A1CE6CA">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2</w:t>
            </w:r>
          </w:p>
        </w:tc>
        <w:tc>
          <w:tcPr>
            <w:tcW w:w="768" w:type="dxa"/>
            <w:noWrap w:val="0"/>
            <w:vAlign w:val="top"/>
          </w:tcPr>
          <w:p w14:paraId="0099865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内地（广东、广西、海南、福建）与港澳间海上运输市场监督检查</w:t>
            </w:r>
          </w:p>
        </w:tc>
        <w:tc>
          <w:tcPr>
            <w:tcW w:w="693" w:type="dxa"/>
            <w:noWrap w:val="0"/>
            <w:vAlign w:val="top"/>
          </w:tcPr>
          <w:p w14:paraId="36E9D9D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24DCCA0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港澳航线客船和危险品船</w:t>
            </w:r>
          </w:p>
        </w:tc>
        <w:tc>
          <w:tcPr>
            <w:tcW w:w="792" w:type="dxa"/>
            <w:noWrap w:val="0"/>
            <w:vAlign w:val="top"/>
          </w:tcPr>
          <w:p w14:paraId="0517DA8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490F24B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1FD977A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1.《交通运输部关于交通运输部珠江航务管理局主要职责机构设置和人员编制的通知》（交人教发〔2017〕133号）。</w:t>
            </w:r>
          </w:p>
          <w:p w14:paraId="278F2FC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2.《国际海运条例》（国务院令第709号）。</w:t>
            </w:r>
          </w:p>
          <w:p w14:paraId="61544D5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3.《国务院关于取消和下放一批行政许可事项的决定》（国发〔2019〕6号）。</w:t>
            </w:r>
          </w:p>
          <w:p w14:paraId="3FFB253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4.《关于公布十项交通运输行政许可事项取消下放后事中事后监管措施的公告》（交通运输部公告2019年第15号）等。</w:t>
            </w:r>
          </w:p>
        </w:tc>
        <w:tc>
          <w:tcPr>
            <w:tcW w:w="992" w:type="dxa"/>
            <w:noWrap w:val="0"/>
            <w:vAlign w:val="top"/>
          </w:tcPr>
          <w:p w14:paraId="4B19FB8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运输企业资质、管理人员、经营行为、安全管理、应急管理、服务质量等方面情况。</w:t>
            </w:r>
          </w:p>
          <w:p w14:paraId="4832319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船舶资质、安全管理、应急演练、隐患排查等情况。</w:t>
            </w:r>
          </w:p>
        </w:tc>
        <w:tc>
          <w:tcPr>
            <w:tcW w:w="2554" w:type="dxa"/>
            <w:noWrap w:val="0"/>
            <w:vAlign w:val="top"/>
          </w:tcPr>
          <w:p w14:paraId="08BD8F3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1.企业</w:t>
            </w:r>
            <w:r>
              <w:rPr>
                <w:rFonts w:hint="eastAsia" w:ascii="Times New Roman" w:hAnsi="Times New Roman" w:eastAsia="宋体" w:cs="宋体"/>
                <w:sz w:val="18"/>
                <w:szCs w:val="18"/>
                <w:lang w:eastAsia="zh-CN"/>
              </w:rPr>
              <w:t>经营资质保持良好</w:t>
            </w:r>
            <w:r>
              <w:rPr>
                <w:rFonts w:hint="eastAsia" w:ascii="Times New Roman" w:hAnsi="Times New Roman" w:eastAsia="宋体" w:cs="宋体"/>
                <w:sz w:val="18"/>
                <w:szCs w:val="18"/>
              </w:rPr>
              <w:t>，营业执照有效，安全与防污染符合证明及年度签注符合要求</w:t>
            </w:r>
            <w:r>
              <w:rPr>
                <w:rFonts w:hint="eastAsia" w:ascii="Times New Roman" w:hAnsi="Times New Roman" w:eastAsia="宋体" w:cs="宋体"/>
                <w:sz w:val="18"/>
                <w:szCs w:val="18"/>
                <w:lang w:eastAsia="zh-CN"/>
              </w:rPr>
              <w:t>等</w:t>
            </w:r>
            <w:r>
              <w:rPr>
                <w:rFonts w:hint="eastAsia" w:ascii="Times New Roman" w:hAnsi="Times New Roman" w:eastAsia="宋体" w:cs="宋体"/>
                <w:sz w:val="18"/>
                <w:szCs w:val="18"/>
              </w:rPr>
              <w:t>。</w:t>
            </w:r>
          </w:p>
          <w:p w14:paraId="66C2C4A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2.营运船舶的证书齐全并在有效期内。</w:t>
            </w:r>
          </w:p>
          <w:p w14:paraId="49C8747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3.按照规定配备管理人员和高级船员。</w:t>
            </w:r>
          </w:p>
          <w:p w14:paraId="78AB2CE7">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4.</w:t>
            </w:r>
            <w:r>
              <w:rPr>
                <w:rFonts w:hint="eastAsia" w:ascii="Times New Roman" w:hAnsi="Times New Roman" w:eastAsia="宋体" w:cs="宋体"/>
                <w:sz w:val="18"/>
                <w:szCs w:val="18"/>
                <w:lang w:eastAsia="zh-CN"/>
              </w:rPr>
              <w:t>制定、执行</w:t>
            </w:r>
            <w:r>
              <w:rPr>
                <w:rFonts w:hint="eastAsia" w:ascii="Times New Roman" w:hAnsi="Times New Roman" w:eastAsia="宋体" w:cs="宋体"/>
                <w:sz w:val="18"/>
                <w:szCs w:val="18"/>
              </w:rPr>
              <w:t>安全生产管理制度、</w:t>
            </w:r>
            <w:r>
              <w:rPr>
                <w:rFonts w:hint="eastAsia" w:ascii="Times New Roman" w:hAnsi="Times New Roman" w:eastAsia="宋体" w:cs="宋体"/>
                <w:color w:val="000000"/>
                <w:sz w:val="18"/>
                <w:szCs w:val="18"/>
              </w:rPr>
              <w:t>安全生产费用管理制度</w:t>
            </w:r>
            <w:r>
              <w:rPr>
                <w:rFonts w:hint="eastAsia" w:ascii="Times New Roman" w:hAnsi="Times New Roman" w:eastAsia="宋体" w:cs="宋体"/>
                <w:sz w:val="18"/>
                <w:szCs w:val="18"/>
                <w:lang w:eastAsia="zh-CN"/>
              </w:rPr>
              <w:t>、安全生产教育和培训计划、事故隐患排查治理制度等。</w:t>
            </w:r>
          </w:p>
          <w:p w14:paraId="4C46C61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5.制定</w:t>
            </w:r>
            <w:r>
              <w:rPr>
                <w:rFonts w:hint="eastAsia" w:ascii="Times New Roman" w:hAnsi="Times New Roman" w:eastAsia="宋体" w:cs="宋体"/>
                <w:sz w:val="18"/>
                <w:szCs w:val="18"/>
              </w:rPr>
              <w:t>应急预案</w:t>
            </w:r>
            <w:r>
              <w:rPr>
                <w:rFonts w:hint="eastAsia" w:ascii="Times New Roman" w:hAnsi="Times New Roman" w:eastAsia="宋体" w:cs="宋体"/>
                <w:sz w:val="18"/>
                <w:szCs w:val="18"/>
                <w:lang w:eastAsia="zh-CN"/>
              </w:rPr>
              <w:t>，开展应急培训和应急演练</w:t>
            </w:r>
            <w:r>
              <w:rPr>
                <w:rFonts w:hint="eastAsia" w:ascii="Times New Roman" w:hAnsi="Times New Roman" w:eastAsia="宋体" w:cs="宋体"/>
                <w:sz w:val="18"/>
                <w:szCs w:val="18"/>
              </w:rPr>
              <w:t>等。</w:t>
            </w:r>
          </w:p>
          <w:p w14:paraId="440476A3">
            <w:pPr>
              <w:spacing w:line="26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lang w:val="en-US" w:eastAsia="zh-CN"/>
              </w:rPr>
              <w:t>6.</w:t>
            </w:r>
            <w:r>
              <w:rPr>
                <w:rFonts w:hint="eastAsia" w:ascii="Times New Roman" w:hAnsi="Times New Roman" w:eastAsia="宋体" w:cs="宋体"/>
                <w:sz w:val="18"/>
                <w:szCs w:val="18"/>
              </w:rPr>
              <w:t>客运站站容</w:t>
            </w:r>
            <w:r>
              <w:rPr>
                <w:rFonts w:hint="eastAsia" w:ascii="Times New Roman" w:hAnsi="Times New Roman" w:eastAsia="宋体" w:cs="宋体"/>
                <w:sz w:val="18"/>
                <w:szCs w:val="18"/>
                <w:lang w:eastAsia="zh-CN"/>
              </w:rPr>
              <w:t>和船舶客舱</w:t>
            </w:r>
            <w:r>
              <w:rPr>
                <w:rFonts w:hint="eastAsia" w:ascii="Times New Roman" w:hAnsi="Times New Roman" w:eastAsia="宋体" w:cs="宋体"/>
                <w:sz w:val="18"/>
                <w:szCs w:val="18"/>
              </w:rPr>
              <w:t>干净整洁</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rPr>
              <w:t>服务标识醒目</w:t>
            </w:r>
            <w:r>
              <w:rPr>
                <w:rFonts w:hint="eastAsia" w:ascii="Times New Roman" w:hAnsi="Times New Roman" w:eastAsia="宋体" w:cs="宋体"/>
                <w:sz w:val="18"/>
                <w:szCs w:val="18"/>
                <w:lang w:eastAsia="zh-CN"/>
              </w:rPr>
              <w:t>，广播和屏幕指引清晰，</w:t>
            </w:r>
            <w:r>
              <w:rPr>
                <w:rFonts w:hint="eastAsia" w:ascii="Times New Roman" w:hAnsi="Times New Roman" w:eastAsia="宋体" w:cs="宋体"/>
                <w:sz w:val="18"/>
                <w:szCs w:val="18"/>
              </w:rPr>
              <w:t>严格按照公布的班期时刻表运行</w:t>
            </w:r>
            <w:r>
              <w:rPr>
                <w:rFonts w:hint="eastAsia" w:ascii="Times New Roman" w:hAnsi="Times New Roman" w:eastAsia="宋体" w:cs="宋体"/>
                <w:sz w:val="18"/>
                <w:szCs w:val="18"/>
                <w:lang w:eastAsia="zh-CN"/>
              </w:rPr>
              <w:t>，准点开航和到港等。</w:t>
            </w:r>
          </w:p>
          <w:p w14:paraId="53EE204E">
            <w:pPr>
              <w:spacing w:line="240" w:lineRule="exact"/>
              <w:rPr>
                <w:rFonts w:hint="eastAsia" w:ascii="Times New Roman" w:hAnsi="Times New Roman" w:eastAsia="宋体" w:cs="宋体"/>
                <w:sz w:val="18"/>
                <w:szCs w:val="18"/>
              </w:rPr>
            </w:pPr>
          </w:p>
        </w:tc>
        <w:tc>
          <w:tcPr>
            <w:tcW w:w="3825" w:type="dxa"/>
            <w:noWrap w:val="0"/>
            <w:vAlign w:val="top"/>
          </w:tcPr>
          <w:p w14:paraId="31605D6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5AD57F0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3EEFE61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0D1B635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051F8EA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515540D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5C04E7C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26E09FA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5D521DE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568D45B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7D7CEE7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7BCF046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257B7CF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1CC6E69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159A3C3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7008391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每年抽查船舶1-2次，抽查比例不低于5%。</w:t>
            </w:r>
          </w:p>
        </w:tc>
      </w:tr>
      <w:tr w14:paraId="26B3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jc w:val="center"/>
        </w:trPr>
        <w:tc>
          <w:tcPr>
            <w:tcW w:w="562" w:type="dxa"/>
            <w:noWrap w:val="0"/>
            <w:vAlign w:val="top"/>
          </w:tcPr>
          <w:p w14:paraId="1C12B7CB">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3</w:t>
            </w:r>
          </w:p>
        </w:tc>
        <w:tc>
          <w:tcPr>
            <w:tcW w:w="768" w:type="dxa"/>
            <w:noWrap w:val="0"/>
            <w:vAlign w:val="top"/>
          </w:tcPr>
          <w:p w14:paraId="5478A1A5">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琼州海峡省际客船和危险品船运输市场监督检查</w:t>
            </w:r>
          </w:p>
        </w:tc>
        <w:tc>
          <w:tcPr>
            <w:tcW w:w="693" w:type="dxa"/>
            <w:noWrap w:val="0"/>
            <w:vAlign w:val="top"/>
          </w:tcPr>
          <w:p w14:paraId="0F0096AC">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重点</w:t>
            </w:r>
          </w:p>
        </w:tc>
        <w:tc>
          <w:tcPr>
            <w:tcW w:w="960" w:type="dxa"/>
            <w:noWrap w:val="0"/>
            <w:vAlign w:val="top"/>
          </w:tcPr>
          <w:p w14:paraId="700003FE">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1.琼州海峡省际客运及危险品运输企业（见《琼州海峡省际客运及危险品运输企业主体名录库》）</w:t>
            </w:r>
          </w:p>
          <w:p w14:paraId="24F83F06">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2.琼州海峡省际客运及危险品运输船舶（见《琼州海峡省际客运及危险品运输船舶主体名录库》）</w:t>
            </w:r>
          </w:p>
        </w:tc>
        <w:tc>
          <w:tcPr>
            <w:tcW w:w="792" w:type="dxa"/>
            <w:noWrap w:val="0"/>
            <w:vAlign w:val="top"/>
          </w:tcPr>
          <w:p w14:paraId="4AF8EC5F">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实地检查/书面检查</w:t>
            </w:r>
          </w:p>
        </w:tc>
        <w:tc>
          <w:tcPr>
            <w:tcW w:w="819" w:type="dxa"/>
            <w:noWrap w:val="0"/>
            <w:vAlign w:val="top"/>
          </w:tcPr>
          <w:p w14:paraId="4A6201CD">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运输服务处</w:t>
            </w:r>
          </w:p>
        </w:tc>
        <w:tc>
          <w:tcPr>
            <w:tcW w:w="2346" w:type="dxa"/>
            <w:noWrap w:val="0"/>
            <w:vAlign w:val="top"/>
          </w:tcPr>
          <w:p w14:paraId="360C530F">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1.《交通运输部关于交通运输部珠江航务管理局主要职责机构设置和人员编制的通知》（交人教发〔2017〕133号）。</w:t>
            </w:r>
          </w:p>
          <w:p w14:paraId="47CCAC1A">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lang w:val="en-US" w:eastAsia="zh-CN"/>
              </w:rPr>
              <w:t>2</w:t>
            </w:r>
            <w:r>
              <w:rPr>
                <w:rFonts w:hint="eastAsia" w:ascii="Times New Roman" w:hAnsi="Times New Roman" w:eastAsia="宋体" w:cs="宋体"/>
                <w:b w:val="0"/>
                <w:bCs w:val="0"/>
                <w:sz w:val="18"/>
                <w:szCs w:val="18"/>
              </w:rPr>
              <w:t>.《国内水路运输管理条例》（中华人民共和国国务院令2012年第625号，2017年3月1日第二次修订）。</w:t>
            </w:r>
          </w:p>
          <w:p w14:paraId="1735E533">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lang w:val="en-US" w:eastAsia="zh-CN"/>
              </w:rPr>
              <w:t>3</w:t>
            </w:r>
            <w:r>
              <w:rPr>
                <w:rFonts w:hint="eastAsia" w:ascii="Times New Roman" w:hAnsi="Times New Roman" w:eastAsia="宋体" w:cs="宋体"/>
                <w:b w:val="0"/>
                <w:bCs w:val="0"/>
                <w:sz w:val="18"/>
                <w:szCs w:val="18"/>
              </w:rPr>
              <w:t>.《交通运输部关于深化“双随机、一公开”监管工作的实施意见》（交法发〔2019〕85号）。</w:t>
            </w:r>
          </w:p>
          <w:p w14:paraId="31F6B1E0">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4.《国内水路运输管理规定》（交通运输部令2020年第4号）。</w:t>
            </w:r>
          </w:p>
          <w:p w14:paraId="5C490E48">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5.《交通运输部关于实施国内水路运输及辅助业管理规定有关事项的通知》（交水发〔2014〕141号）。</w:t>
            </w:r>
          </w:p>
          <w:p w14:paraId="69F4127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6.《交通运输部关于公布交通运输部行政处罚、行政检查事项清单和收费目录清单的公告》（交通运输部公告2017年第34号）等。</w:t>
            </w:r>
          </w:p>
        </w:tc>
        <w:tc>
          <w:tcPr>
            <w:tcW w:w="992" w:type="dxa"/>
            <w:noWrap w:val="0"/>
            <w:vAlign w:val="top"/>
          </w:tcPr>
          <w:p w14:paraId="3D84D06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企业经营资质、经营行为、安全管理、应急管理等情况。</w:t>
            </w:r>
          </w:p>
        </w:tc>
        <w:tc>
          <w:tcPr>
            <w:tcW w:w="2554" w:type="dxa"/>
            <w:noWrap w:val="0"/>
            <w:vAlign w:val="top"/>
          </w:tcPr>
          <w:p w14:paraId="6FC4AAD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1.企业的国内水路运输经营许可证在有效期内，营业执照有效，安全与防污染符合证明及年度签注符合要求，自有运力达到有关规定要求。</w:t>
            </w:r>
          </w:p>
          <w:p w14:paraId="7ACCCF1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2.营运船舶的证书齐全并在有效期内。</w:t>
            </w:r>
          </w:p>
          <w:p w14:paraId="163D84F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3.按照规定配备管理人员和高级船员。</w:t>
            </w:r>
          </w:p>
          <w:p w14:paraId="43D07B92">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4.</w:t>
            </w:r>
            <w:r>
              <w:rPr>
                <w:rFonts w:hint="eastAsia" w:ascii="Times New Roman" w:hAnsi="Times New Roman" w:eastAsia="宋体" w:cs="宋体"/>
                <w:sz w:val="18"/>
                <w:szCs w:val="18"/>
                <w:lang w:eastAsia="zh-CN"/>
              </w:rPr>
              <w:t>制定、执行</w:t>
            </w:r>
            <w:r>
              <w:rPr>
                <w:rFonts w:hint="eastAsia" w:ascii="Times New Roman" w:hAnsi="Times New Roman" w:eastAsia="宋体" w:cs="宋体"/>
                <w:sz w:val="18"/>
                <w:szCs w:val="18"/>
              </w:rPr>
              <w:t>安全生产管理制度、</w:t>
            </w:r>
            <w:r>
              <w:rPr>
                <w:rFonts w:hint="eastAsia" w:ascii="Times New Roman" w:hAnsi="Times New Roman" w:eastAsia="宋体" w:cs="宋体"/>
                <w:color w:val="000000"/>
                <w:sz w:val="18"/>
                <w:szCs w:val="18"/>
              </w:rPr>
              <w:t>安全生产费用管理制度</w:t>
            </w:r>
            <w:r>
              <w:rPr>
                <w:rFonts w:hint="eastAsia" w:ascii="Times New Roman" w:hAnsi="Times New Roman" w:eastAsia="宋体" w:cs="宋体"/>
                <w:sz w:val="18"/>
                <w:szCs w:val="18"/>
                <w:lang w:eastAsia="zh-CN"/>
              </w:rPr>
              <w:t>、安全生产教育和培训计划、事故隐患排查治理制度等。</w:t>
            </w:r>
          </w:p>
          <w:p w14:paraId="69D0409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5.制定</w:t>
            </w:r>
            <w:r>
              <w:rPr>
                <w:rFonts w:hint="eastAsia" w:ascii="Times New Roman" w:hAnsi="Times New Roman" w:eastAsia="宋体" w:cs="宋体"/>
                <w:sz w:val="18"/>
                <w:szCs w:val="18"/>
              </w:rPr>
              <w:t>应急预案</w:t>
            </w:r>
            <w:r>
              <w:rPr>
                <w:rFonts w:hint="eastAsia" w:ascii="Times New Roman" w:hAnsi="Times New Roman" w:eastAsia="宋体" w:cs="宋体"/>
                <w:sz w:val="18"/>
                <w:szCs w:val="18"/>
                <w:lang w:eastAsia="zh-CN"/>
              </w:rPr>
              <w:t>，开展应急培训和应急演练</w:t>
            </w:r>
            <w:r>
              <w:rPr>
                <w:rFonts w:hint="eastAsia" w:ascii="Times New Roman" w:hAnsi="Times New Roman" w:eastAsia="宋体" w:cs="宋体"/>
                <w:sz w:val="18"/>
                <w:szCs w:val="18"/>
              </w:rPr>
              <w:t>等。</w:t>
            </w:r>
          </w:p>
          <w:p w14:paraId="24CDBCA7">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lang w:val="en-US" w:eastAsia="zh-CN"/>
              </w:rPr>
              <w:t>6.</w:t>
            </w:r>
            <w:r>
              <w:rPr>
                <w:rFonts w:hint="eastAsia" w:ascii="Times New Roman" w:hAnsi="Times New Roman" w:eastAsia="宋体" w:cs="宋体"/>
                <w:sz w:val="18"/>
                <w:szCs w:val="18"/>
              </w:rPr>
              <w:t>建立</w:t>
            </w:r>
            <w:r>
              <w:rPr>
                <w:rFonts w:hint="eastAsia" w:ascii="Times New Roman" w:hAnsi="Times New Roman" w:eastAsia="宋体" w:cs="宋体"/>
                <w:sz w:val="18"/>
                <w:szCs w:val="18"/>
                <w:lang w:val="en-US" w:eastAsia="zh-CN"/>
              </w:rPr>
              <w:t>并落实</w:t>
            </w:r>
            <w:r>
              <w:rPr>
                <w:rFonts w:hint="eastAsia" w:ascii="Times New Roman" w:hAnsi="Times New Roman" w:eastAsia="宋体" w:cs="宋体"/>
                <w:sz w:val="18"/>
                <w:szCs w:val="18"/>
              </w:rPr>
              <w:t>滚装车辆安全检查制度</w:t>
            </w:r>
            <w:r>
              <w:rPr>
                <w:rFonts w:hint="eastAsia" w:ascii="Times New Roman" w:hAnsi="Times New Roman" w:eastAsia="宋体" w:cs="宋体"/>
                <w:sz w:val="18"/>
                <w:szCs w:val="18"/>
                <w:lang w:eastAsia="zh-CN"/>
              </w:rPr>
              <w:t>等</w:t>
            </w:r>
            <w:r>
              <w:rPr>
                <w:rFonts w:hint="eastAsia" w:ascii="Times New Roman" w:hAnsi="Times New Roman" w:eastAsia="宋体" w:cs="宋体"/>
                <w:sz w:val="18"/>
                <w:szCs w:val="18"/>
              </w:rPr>
              <w:t>；</w:t>
            </w:r>
            <w:r>
              <w:rPr>
                <w:rFonts w:hint="eastAsia" w:ascii="Times New Roman" w:hAnsi="Times New Roman" w:eastAsia="宋体" w:cs="宋体"/>
                <w:sz w:val="18"/>
                <w:szCs w:val="18"/>
                <w:lang w:val="en-US" w:eastAsia="zh-CN"/>
              </w:rPr>
              <w:t>公布</w:t>
            </w:r>
            <w:r>
              <w:rPr>
                <w:rFonts w:hint="eastAsia" w:ascii="Times New Roman" w:hAnsi="Times New Roman" w:eastAsia="宋体" w:cs="宋体"/>
                <w:sz w:val="18"/>
                <w:szCs w:val="18"/>
              </w:rPr>
              <w:t>禁止、限制载运物品目录；拒绝载有禁止载运物品和超限载运物品的车辆登船；建立</w:t>
            </w:r>
            <w:r>
              <w:rPr>
                <w:rFonts w:hint="eastAsia" w:ascii="Times New Roman" w:hAnsi="Times New Roman" w:eastAsia="宋体" w:cs="宋体"/>
                <w:sz w:val="18"/>
                <w:szCs w:val="18"/>
                <w:lang w:val="en-US" w:eastAsia="zh-CN"/>
              </w:rPr>
              <w:t>并落实</w:t>
            </w:r>
            <w:r>
              <w:rPr>
                <w:rFonts w:hint="eastAsia" w:ascii="Times New Roman" w:hAnsi="Times New Roman" w:eastAsia="宋体" w:cs="宋体"/>
                <w:sz w:val="18"/>
                <w:szCs w:val="18"/>
              </w:rPr>
              <w:t>违规滚装车辆黑名单制度</w:t>
            </w:r>
            <w:r>
              <w:rPr>
                <w:rFonts w:hint="eastAsia" w:ascii="Times New Roman" w:hAnsi="Times New Roman" w:eastAsia="宋体" w:cs="宋体"/>
                <w:sz w:val="18"/>
                <w:szCs w:val="18"/>
                <w:lang w:eastAsia="zh-CN"/>
              </w:rPr>
              <w:t>。</w:t>
            </w:r>
          </w:p>
          <w:p w14:paraId="0C5F25B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7.</w:t>
            </w:r>
            <w:r>
              <w:rPr>
                <w:rFonts w:hint="eastAsia" w:ascii="Times New Roman" w:hAnsi="Times New Roman" w:eastAsia="宋体" w:cs="宋体"/>
                <w:sz w:val="18"/>
                <w:szCs w:val="18"/>
              </w:rPr>
              <w:t>配备货运车辆安全检查设备等设施设备</w:t>
            </w:r>
            <w:r>
              <w:rPr>
                <w:rFonts w:hint="eastAsia" w:ascii="Times New Roman" w:hAnsi="Times New Roman" w:eastAsia="宋体" w:cs="宋体"/>
                <w:sz w:val="18"/>
                <w:szCs w:val="18"/>
                <w:lang w:eastAsia="zh-CN"/>
              </w:rPr>
              <w:t>，有</w:t>
            </w:r>
            <w:r>
              <w:rPr>
                <w:rFonts w:hint="eastAsia" w:ascii="Times New Roman" w:hAnsi="Times New Roman" w:eastAsia="宋体" w:cs="宋体"/>
                <w:sz w:val="18"/>
                <w:szCs w:val="18"/>
              </w:rPr>
              <w:t>滚装车辆和载运货物信息填报台账</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rPr>
              <w:t>危险品夹带隐患排查记录和处理台账</w:t>
            </w:r>
            <w:r>
              <w:rPr>
                <w:rFonts w:hint="eastAsia" w:ascii="Times New Roman" w:hAnsi="Times New Roman" w:eastAsia="宋体" w:cs="宋体"/>
                <w:sz w:val="18"/>
                <w:szCs w:val="18"/>
                <w:lang w:eastAsia="zh-CN"/>
              </w:rPr>
              <w:t>等。</w:t>
            </w:r>
          </w:p>
          <w:p w14:paraId="64D2A6AD">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sz w:val="18"/>
                <w:szCs w:val="18"/>
                <w:lang w:val="en-US" w:eastAsia="zh-CN"/>
              </w:rPr>
              <w:t>8.</w:t>
            </w:r>
            <w:r>
              <w:rPr>
                <w:rFonts w:hint="eastAsia" w:ascii="Times New Roman" w:hAnsi="Times New Roman" w:eastAsia="宋体" w:cs="宋体"/>
                <w:sz w:val="18"/>
                <w:szCs w:val="18"/>
              </w:rPr>
              <w:t>安检员按要求接受危险品夹带查堵培训，并考核合格</w:t>
            </w:r>
            <w:r>
              <w:rPr>
                <w:rFonts w:hint="eastAsia" w:ascii="Times New Roman" w:hAnsi="Times New Roman" w:eastAsia="宋体" w:cs="宋体"/>
                <w:sz w:val="18"/>
                <w:szCs w:val="18"/>
                <w:lang w:eastAsia="zh-CN"/>
              </w:rPr>
              <w:t>。</w:t>
            </w:r>
          </w:p>
        </w:tc>
        <w:tc>
          <w:tcPr>
            <w:tcW w:w="3825" w:type="dxa"/>
            <w:noWrap w:val="0"/>
            <w:vAlign w:val="top"/>
          </w:tcPr>
          <w:p w14:paraId="7CB72823">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1.制定年度监督检查计划。</w:t>
            </w:r>
          </w:p>
          <w:p w14:paraId="7F3E7F6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2.根据年度计划或上级来文，制定具体的实施方案。</w:t>
            </w:r>
          </w:p>
          <w:p w14:paraId="1B8E7EB0">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3.监督检查。</w:t>
            </w:r>
          </w:p>
          <w:p w14:paraId="7323F254">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（1）准备阶段。</w:t>
            </w:r>
          </w:p>
          <w:p w14:paraId="1ED9AB4F">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①确定被检查对象。从企业或船舶主体名录库中随机抽取。</w:t>
            </w:r>
          </w:p>
          <w:p w14:paraId="7966656A">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②确定检查人员（含专家）。从检查人员名录库中随机抽取。</w:t>
            </w:r>
          </w:p>
          <w:p w14:paraId="1D1FB62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③起草检查通知，附检查内容清单，并发布通知。</w:t>
            </w:r>
          </w:p>
          <w:p w14:paraId="0A1A4083">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（2）检查阶段。</w:t>
            </w:r>
          </w:p>
          <w:p w14:paraId="451F72E8">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①按要求开展监督检查工作。</w:t>
            </w:r>
          </w:p>
          <w:p w14:paraId="083E6270">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②工作记录。包括人员签到、检查情况记录等工作台账。</w:t>
            </w:r>
          </w:p>
          <w:p w14:paraId="54802041">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③填写检查情况表，现场反馈检查表格。</w:t>
            </w:r>
          </w:p>
          <w:p w14:paraId="270B490F">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4.后续工作。</w:t>
            </w:r>
          </w:p>
          <w:p w14:paraId="2F252823">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（1）抓好落实。向被检查对象发文反馈检查情况、检查结果和整改要求。</w:t>
            </w:r>
          </w:p>
          <w:p w14:paraId="192059A6">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（2）做好回访。对需要整改的问题，督促企业及时报送整改情况报告；督促企业所在地市交通运输主管部门开展复核，及时向我局报送整改情况报告；必要时开展回访复核。</w:t>
            </w:r>
          </w:p>
          <w:p w14:paraId="0321D435">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（3）结果运用。将监督检查结果统一录入相关数据库，按要求对外进行公示。</w:t>
            </w:r>
          </w:p>
        </w:tc>
        <w:tc>
          <w:tcPr>
            <w:tcW w:w="1085" w:type="dxa"/>
            <w:noWrap w:val="0"/>
            <w:vAlign w:val="top"/>
          </w:tcPr>
          <w:p w14:paraId="299F5064">
            <w:pPr>
              <w:spacing w:line="240" w:lineRule="exact"/>
              <w:rPr>
                <w:rFonts w:hint="eastAsia" w:ascii="Times New Roman" w:hAnsi="Times New Roman" w:eastAsia="宋体" w:cs="宋体"/>
                <w:b w:val="0"/>
                <w:bCs w:val="0"/>
                <w:sz w:val="18"/>
                <w:szCs w:val="18"/>
              </w:rPr>
            </w:pPr>
            <w:r>
              <w:rPr>
                <w:rFonts w:hint="eastAsia" w:ascii="Times New Roman" w:hAnsi="Times New Roman" w:eastAsia="宋体" w:cs="宋体"/>
                <w:b w:val="0"/>
                <w:bCs w:val="0"/>
                <w:sz w:val="18"/>
                <w:szCs w:val="18"/>
              </w:rPr>
              <w:t>每年抽查企业1-2次，抽查比例不低于20%；每年抽查船舶1-2次，抽查比例不低于5%。</w:t>
            </w:r>
          </w:p>
        </w:tc>
      </w:tr>
      <w:tr w14:paraId="32CF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atLeast"/>
          <w:jc w:val="center"/>
        </w:trPr>
        <w:tc>
          <w:tcPr>
            <w:tcW w:w="562" w:type="dxa"/>
            <w:noWrap w:val="0"/>
            <w:vAlign w:val="top"/>
          </w:tcPr>
          <w:p w14:paraId="0A564A64">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4</w:t>
            </w:r>
          </w:p>
        </w:tc>
        <w:tc>
          <w:tcPr>
            <w:tcW w:w="768" w:type="dxa"/>
            <w:noWrap w:val="0"/>
            <w:vAlign w:val="top"/>
          </w:tcPr>
          <w:p w14:paraId="51FEDBB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琼州海峡客滚运输模式监督检查</w:t>
            </w:r>
          </w:p>
        </w:tc>
        <w:tc>
          <w:tcPr>
            <w:tcW w:w="693" w:type="dxa"/>
            <w:noWrap w:val="0"/>
            <w:vAlign w:val="top"/>
          </w:tcPr>
          <w:p w14:paraId="7504C7F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504ABF0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琼州海峡省际客船运输企业、港口企业（见《琼州海峡省际客船运输企业和港口企业主体名录库》）</w:t>
            </w:r>
          </w:p>
        </w:tc>
        <w:tc>
          <w:tcPr>
            <w:tcW w:w="792" w:type="dxa"/>
            <w:noWrap w:val="0"/>
            <w:vAlign w:val="top"/>
          </w:tcPr>
          <w:p w14:paraId="114216A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398A6D6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23B8D0F3">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1</w:t>
            </w:r>
            <w:r>
              <w:rPr>
                <w:rFonts w:hint="eastAsia" w:ascii="Times New Roman" w:hAnsi="Times New Roman" w:eastAsia="宋体" w:cs="宋体"/>
                <w:color w:val="000000"/>
                <w:sz w:val="18"/>
                <w:szCs w:val="18"/>
              </w:rPr>
              <w:t>.《交通运输部关于交通运输部珠江航务管理局主要职责机构设置和人员编制的通知》（交人教发〔2017〕133号）。</w:t>
            </w:r>
          </w:p>
          <w:p w14:paraId="31DC40F2">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2</w:t>
            </w:r>
            <w:r>
              <w:rPr>
                <w:rFonts w:hint="eastAsia" w:ascii="Times New Roman" w:hAnsi="Times New Roman" w:eastAsia="宋体" w:cs="宋体"/>
                <w:color w:val="000000"/>
                <w:sz w:val="18"/>
                <w:szCs w:val="18"/>
              </w:rPr>
              <w:t>.《交通运输部关于加强琼州海峡客滚运输市场管理的意见》（交水发〔2013〕351号）等。</w:t>
            </w:r>
          </w:p>
          <w:p w14:paraId="5AA692AC">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3</w:t>
            </w:r>
            <w:r>
              <w:rPr>
                <w:rFonts w:hint="eastAsia" w:ascii="Times New Roman" w:hAnsi="Times New Roman" w:eastAsia="宋体" w:cs="宋体"/>
                <w:color w:val="000000"/>
                <w:sz w:val="18"/>
                <w:szCs w:val="18"/>
              </w:rPr>
              <w:t>.《交通运输部关于公布交通运输部行政处罚、行政检查事项清单和收费目录清单的公告》（交通运输部公告2017年第34号）等。</w:t>
            </w:r>
          </w:p>
          <w:p w14:paraId="3E83E59C">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4</w:t>
            </w:r>
            <w:r>
              <w:rPr>
                <w:rFonts w:hint="eastAsia" w:ascii="Times New Roman" w:hAnsi="Times New Roman" w:eastAsia="宋体" w:cs="宋体"/>
                <w:color w:val="000000"/>
                <w:sz w:val="18"/>
                <w:szCs w:val="18"/>
              </w:rPr>
              <w:t>.《关于印发&lt;琼州海峡客滚运输班轮化运营实施方案&gt;的通知》（珠运输发〔2022〕78号）。</w:t>
            </w:r>
          </w:p>
          <w:p w14:paraId="5BDAC2A7">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5</w:t>
            </w:r>
            <w:r>
              <w:rPr>
                <w:rFonts w:hint="eastAsia" w:ascii="Times New Roman" w:hAnsi="Times New Roman" w:eastAsia="宋体" w:cs="宋体"/>
                <w:color w:val="000000"/>
                <w:sz w:val="18"/>
                <w:szCs w:val="18"/>
              </w:rPr>
              <w:t>.《关于印发&lt;琼州海峡客滚运输评价管理办法&gt;的通知》（珠运输发〔2022〕81号）。</w:t>
            </w:r>
          </w:p>
          <w:p w14:paraId="5CFF6CFC">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6</w:t>
            </w:r>
            <w:r>
              <w:rPr>
                <w:rFonts w:hint="eastAsia" w:ascii="Times New Roman" w:hAnsi="Times New Roman" w:eastAsia="宋体" w:cs="宋体"/>
                <w:color w:val="000000"/>
                <w:sz w:val="18"/>
                <w:szCs w:val="18"/>
              </w:rPr>
              <w:t>.《关于印发&lt;琼州海峡客滚运输班轮化运营应急疏运预案&gt;的通知》珠运输发〔2022〕129号）。</w:t>
            </w:r>
          </w:p>
        </w:tc>
        <w:tc>
          <w:tcPr>
            <w:tcW w:w="992" w:type="dxa"/>
            <w:noWrap w:val="0"/>
            <w:vAlign w:val="top"/>
          </w:tcPr>
          <w:p w14:paraId="49E5EFE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港航企业的班期方案执行、特殊情况班期调整、船舶装载时间等情况</w:t>
            </w:r>
            <w:r>
              <w:rPr>
                <w:rFonts w:hint="eastAsia" w:ascii="Times New Roman" w:hAnsi="Times New Roman" w:eastAsia="宋体" w:cs="宋体"/>
                <w:sz w:val="18"/>
                <w:szCs w:val="18"/>
                <w:lang w:eastAsia="zh-CN"/>
              </w:rPr>
              <w:t>。</w:t>
            </w:r>
          </w:p>
        </w:tc>
        <w:tc>
          <w:tcPr>
            <w:tcW w:w="2554" w:type="dxa"/>
            <w:noWrap w:val="0"/>
            <w:vAlign w:val="top"/>
          </w:tcPr>
          <w:p w14:paraId="61CF7ABD">
            <w:pPr>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lang w:val="en-US" w:eastAsia="zh-CN"/>
              </w:rPr>
              <w:t>1.</w:t>
            </w:r>
            <w:r>
              <w:rPr>
                <w:rFonts w:hint="eastAsia" w:ascii="Times New Roman" w:hAnsi="Times New Roman" w:eastAsia="宋体" w:cs="宋体"/>
                <w:sz w:val="18"/>
                <w:szCs w:val="18"/>
              </w:rPr>
              <w:t>按照上级部门印发的班轮化船舶班期方案，合理安排船舶装卸、锚泊，制定动态实时调度计划</w:t>
            </w:r>
            <w:r>
              <w:rPr>
                <w:rFonts w:hint="eastAsia" w:ascii="Times New Roman" w:hAnsi="Times New Roman" w:eastAsia="宋体" w:cs="宋体"/>
                <w:sz w:val="18"/>
                <w:szCs w:val="18"/>
                <w:lang w:eastAsia="zh-CN"/>
              </w:rPr>
              <w:t>，安排</w:t>
            </w:r>
            <w:r>
              <w:rPr>
                <w:rFonts w:hint="eastAsia" w:ascii="Times New Roman" w:hAnsi="Times New Roman" w:eastAsia="宋体" w:cs="宋体"/>
                <w:sz w:val="18"/>
                <w:szCs w:val="18"/>
              </w:rPr>
              <w:t>船舶准时发班</w:t>
            </w:r>
            <w:r>
              <w:rPr>
                <w:rFonts w:hint="eastAsia" w:ascii="Times New Roman" w:hAnsi="Times New Roman" w:eastAsia="宋体" w:cs="宋体"/>
                <w:sz w:val="18"/>
                <w:szCs w:val="18"/>
                <w:lang w:eastAsia="zh-CN"/>
              </w:rPr>
              <w:t>。</w:t>
            </w:r>
          </w:p>
          <w:p w14:paraId="48A29AB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lang w:val="zh-CN"/>
              </w:rPr>
              <w:t>特殊情况班期调整</w:t>
            </w:r>
            <w:r>
              <w:rPr>
                <w:rFonts w:hint="eastAsia" w:ascii="Times New Roman" w:hAnsi="Times New Roman" w:eastAsia="宋体" w:cs="宋体"/>
                <w:sz w:val="18"/>
                <w:szCs w:val="18"/>
                <w:lang w:eastAsia="zh-CN"/>
              </w:rPr>
              <w:t>，应</w:t>
            </w:r>
            <w:r>
              <w:rPr>
                <w:rFonts w:hint="eastAsia" w:ascii="Times New Roman" w:hAnsi="Times New Roman" w:eastAsia="宋体" w:cs="宋体"/>
                <w:sz w:val="18"/>
                <w:szCs w:val="18"/>
              </w:rPr>
              <w:t>服从上级部门</w:t>
            </w:r>
            <w:r>
              <w:rPr>
                <w:rFonts w:hint="eastAsia" w:ascii="Times New Roman" w:hAnsi="Times New Roman" w:eastAsia="宋体" w:cs="宋体"/>
                <w:sz w:val="18"/>
                <w:szCs w:val="18"/>
                <w:lang w:eastAsia="zh-CN"/>
              </w:rPr>
              <w:t>应急</w:t>
            </w:r>
            <w:r>
              <w:rPr>
                <w:rFonts w:hint="eastAsia" w:ascii="Times New Roman" w:hAnsi="Times New Roman" w:eastAsia="宋体" w:cs="宋体"/>
                <w:sz w:val="18"/>
                <w:szCs w:val="18"/>
              </w:rPr>
              <w:t>疏运</w:t>
            </w:r>
            <w:r>
              <w:rPr>
                <w:rFonts w:hint="eastAsia" w:ascii="Times New Roman" w:hAnsi="Times New Roman" w:eastAsia="宋体" w:cs="宋体"/>
                <w:sz w:val="18"/>
                <w:szCs w:val="18"/>
                <w:lang w:eastAsia="zh-CN"/>
              </w:rPr>
              <w:t>指令，按程序进行临时加班、替班、取消班期的申请和报备。</w:t>
            </w:r>
          </w:p>
          <w:p w14:paraId="518C6F3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3.</w:t>
            </w:r>
            <w:r>
              <w:rPr>
                <w:rFonts w:hint="eastAsia" w:ascii="Times New Roman" w:hAnsi="Times New Roman" w:eastAsia="宋体" w:cs="宋体"/>
                <w:sz w:val="18"/>
                <w:szCs w:val="18"/>
                <w:lang w:eastAsia="zh-CN"/>
              </w:rPr>
              <w:t>主要航线和辅助航线原则上装载时间控制在</w:t>
            </w:r>
            <w:r>
              <w:rPr>
                <w:rFonts w:hint="eastAsia" w:ascii="Times New Roman" w:hAnsi="Times New Roman" w:eastAsia="宋体" w:cs="宋体"/>
                <w:sz w:val="18"/>
                <w:szCs w:val="18"/>
                <w:lang w:val="en-US" w:eastAsia="zh-CN"/>
              </w:rPr>
              <w:t>70分钟。</w:t>
            </w:r>
          </w:p>
        </w:tc>
        <w:tc>
          <w:tcPr>
            <w:tcW w:w="3825" w:type="dxa"/>
            <w:noWrap w:val="0"/>
            <w:vAlign w:val="top"/>
          </w:tcPr>
          <w:p w14:paraId="61036FE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4509936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1BF2D95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3B6E0E7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0FDBE06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115F01A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35DF442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118D118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6FFDB55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395A19E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6B2AD12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07EAA79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1E1B92F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5142C34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75DFEDA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661382F2">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每年抽查1-2次，抽查企业比例不低于20%。</w:t>
            </w:r>
          </w:p>
        </w:tc>
      </w:tr>
      <w:tr w14:paraId="43F4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jc w:val="center"/>
        </w:trPr>
        <w:tc>
          <w:tcPr>
            <w:tcW w:w="562" w:type="dxa"/>
            <w:noWrap w:val="0"/>
            <w:vAlign w:val="top"/>
          </w:tcPr>
          <w:p w14:paraId="1F3C5778">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5</w:t>
            </w:r>
          </w:p>
        </w:tc>
        <w:tc>
          <w:tcPr>
            <w:tcW w:w="768" w:type="dxa"/>
            <w:noWrap w:val="0"/>
            <w:vAlign w:val="top"/>
          </w:tcPr>
          <w:p w14:paraId="10AEA6C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琼州海峡客滚运输文明服务工作监督检查</w:t>
            </w:r>
          </w:p>
        </w:tc>
        <w:tc>
          <w:tcPr>
            <w:tcW w:w="693" w:type="dxa"/>
            <w:noWrap w:val="0"/>
            <w:vAlign w:val="top"/>
          </w:tcPr>
          <w:p w14:paraId="61FF3CD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7657576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琼州海峡省际客船运输企业和港口企业（见《琼州海峡省际客船运输企业和港口企业主体名录库》）</w:t>
            </w:r>
          </w:p>
        </w:tc>
        <w:tc>
          <w:tcPr>
            <w:tcW w:w="792" w:type="dxa"/>
            <w:noWrap w:val="0"/>
            <w:vAlign w:val="top"/>
          </w:tcPr>
          <w:p w14:paraId="6F7734D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1D1381E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6EB34020">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1</w:t>
            </w:r>
            <w:r>
              <w:rPr>
                <w:rFonts w:hint="eastAsia" w:ascii="Times New Roman" w:hAnsi="Times New Roman" w:eastAsia="宋体" w:cs="宋体"/>
                <w:color w:val="000000"/>
                <w:sz w:val="18"/>
                <w:szCs w:val="18"/>
              </w:rPr>
              <w:t>.《交通运输部关于交通运输部珠江航务管理局主要职责机构设置和人员编制的通知》（交人教发〔2017〕133号）。</w:t>
            </w:r>
          </w:p>
          <w:p w14:paraId="2B92F08B">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2</w:t>
            </w:r>
            <w:r>
              <w:rPr>
                <w:rFonts w:hint="eastAsia" w:ascii="Times New Roman" w:hAnsi="Times New Roman" w:eastAsia="宋体" w:cs="宋体"/>
                <w:color w:val="000000"/>
                <w:sz w:val="18"/>
                <w:szCs w:val="18"/>
              </w:rPr>
              <w:t>.《关于加快推进琼州海峡客滚运输文明服务的通知》（水运国内函〔2015〕165号）。</w:t>
            </w:r>
          </w:p>
          <w:p w14:paraId="01F99EB1">
            <w:pPr>
              <w:spacing w:line="240" w:lineRule="exact"/>
              <w:rPr>
                <w:rFonts w:hint="eastAsia" w:ascii="Times New Roman" w:hAnsi="Times New Roman" w:eastAsia="宋体" w:cs="宋体"/>
                <w:sz w:val="18"/>
                <w:szCs w:val="18"/>
              </w:rPr>
            </w:pPr>
            <w:r>
              <w:rPr>
                <w:rFonts w:hint="eastAsia" w:ascii="Times New Roman" w:hAnsi="Times New Roman" w:eastAsia="宋体" w:cs="宋体"/>
                <w:color w:val="000000"/>
                <w:sz w:val="18"/>
                <w:szCs w:val="18"/>
              </w:rPr>
              <w:t>3.《交通运输部关于公布交通运输部行政处罚、行政检查事项清单和收费目录清单的公告》（交通运输部公告2017年第34号）等。</w:t>
            </w:r>
          </w:p>
        </w:tc>
        <w:tc>
          <w:tcPr>
            <w:tcW w:w="992" w:type="dxa"/>
            <w:noWrap w:val="0"/>
            <w:vAlign w:val="top"/>
          </w:tcPr>
          <w:p w14:paraId="7B2B777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港航企业及港站、船舶的环境、卫生、信息、安全、设施设备等服务质量要求落实情况以及旅客投诉建议处理等情况。</w:t>
            </w:r>
          </w:p>
        </w:tc>
        <w:tc>
          <w:tcPr>
            <w:tcW w:w="2554" w:type="dxa"/>
            <w:noWrap w:val="0"/>
            <w:vAlign w:val="top"/>
          </w:tcPr>
          <w:p w14:paraId="7CB08888">
            <w:pPr>
              <w:spacing w:line="26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w:t>
            </w:r>
            <w:r>
              <w:rPr>
                <w:rFonts w:hint="eastAsia" w:ascii="Times New Roman" w:hAnsi="Times New Roman" w:eastAsia="宋体" w:cs="宋体"/>
                <w:color w:val="000000"/>
                <w:sz w:val="18"/>
                <w:szCs w:val="18"/>
                <w:lang w:val="zh-CN"/>
              </w:rPr>
              <w:t>制定并落实服务质量管理制度，设立企业内部服务质量管理机构，建立旅客意见处理机制，制定服务人员培训计划。</w:t>
            </w:r>
          </w:p>
          <w:p w14:paraId="74B0FD55">
            <w:pPr>
              <w:spacing w:line="260" w:lineRule="exact"/>
              <w:rPr>
                <w:rFonts w:hint="eastAsia" w:ascii="Times New Roman" w:hAnsi="Times New Roman" w:eastAsia="宋体" w:cs="宋体"/>
                <w:b/>
                <w:color w:val="000000"/>
                <w:sz w:val="18"/>
                <w:szCs w:val="18"/>
                <w:lang w:val="zh-CN"/>
              </w:rPr>
            </w:pPr>
            <w:r>
              <w:rPr>
                <w:rFonts w:hint="eastAsia" w:ascii="Times New Roman" w:hAnsi="Times New Roman" w:eastAsia="宋体" w:cs="宋体"/>
                <w:sz w:val="18"/>
                <w:szCs w:val="18"/>
                <w:lang w:val="en-US" w:eastAsia="zh-CN"/>
              </w:rPr>
              <w:t>2.</w:t>
            </w:r>
            <w:r>
              <w:rPr>
                <w:rFonts w:hint="eastAsia" w:ascii="Times New Roman" w:hAnsi="Times New Roman" w:eastAsia="宋体" w:cs="宋体"/>
                <w:sz w:val="18"/>
                <w:szCs w:val="18"/>
              </w:rPr>
              <w:t>为其客运船舶投保承运人责任保险或者取得相应的财务担保</w:t>
            </w:r>
            <w:r>
              <w:rPr>
                <w:rFonts w:hint="eastAsia" w:ascii="Times New Roman" w:hAnsi="Times New Roman" w:eastAsia="宋体" w:cs="宋体"/>
                <w:color w:val="000000"/>
                <w:sz w:val="18"/>
                <w:szCs w:val="18"/>
                <w:lang w:val="zh-CN"/>
              </w:rPr>
              <w:t>。</w:t>
            </w:r>
          </w:p>
          <w:p w14:paraId="43E46ACD">
            <w:pPr>
              <w:spacing w:line="26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3.</w:t>
            </w:r>
            <w:r>
              <w:rPr>
                <w:rFonts w:hint="eastAsia" w:ascii="Times New Roman" w:hAnsi="Times New Roman" w:eastAsia="宋体" w:cs="宋体"/>
                <w:color w:val="000000"/>
                <w:sz w:val="18"/>
                <w:szCs w:val="18"/>
              </w:rPr>
              <w:t>向旅客提供载明经营者名称、船舶名称、始发港、目的港、乘船时间、票价等基本信息</w:t>
            </w:r>
            <w:r>
              <w:rPr>
                <w:rFonts w:hint="eastAsia" w:ascii="Times New Roman" w:hAnsi="Times New Roman" w:eastAsia="宋体" w:cs="宋体"/>
                <w:color w:val="000000"/>
                <w:sz w:val="18"/>
                <w:szCs w:val="18"/>
                <w:lang w:eastAsia="zh-CN"/>
              </w:rPr>
              <w:t>的</w:t>
            </w:r>
            <w:r>
              <w:rPr>
                <w:rFonts w:hint="eastAsia" w:ascii="Times New Roman" w:hAnsi="Times New Roman" w:eastAsia="宋体" w:cs="宋体"/>
                <w:color w:val="000000"/>
                <w:sz w:val="18"/>
                <w:szCs w:val="18"/>
              </w:rPr>
              <w:t>客票</w:t>
            </w:r>
            <w:r>
              <w:rPr>
                <w:rFonts w:hint="eastAsia" w:ascii="Times New Roman" w:hAnsi="Times New Roman" w:eastAsia="宋体" w:cs="宋体"/>
                <w:color w:val="000000"/>
                <w:sz w:val="18"/>
                <w:szCs w:val="18"/>
                <w:lang w:eastAsia="zh-CN"/>
              </w:rPr>
              <w:t>，</w:t>
            </w:r>
            <w:r>
              <w:rPr>
                <w:rFonts w:hint="eastAsia" w:ascii="Times New Roman" w:hAnsi="Times New Roman" w:eastAsia="宋体" w:cs="宋体"/>
                <w:color w:val="000000"/>
                <w:sz w:val="18"/>
                <w:szCs w:val="18"/>
              </w:rPr>
              <w:t>以公布的票价销售客票</w:t>
            </w:r>
            <w:r>
              <w:rPr>
                <w:rFonts w:hint="eastAsia" w:ascii="Times New Roman" w:hAnsi="Times New Roman" w:eastAsia="宋体" w:cs="宋体"/>
                <w:color w:val="000000"/>
                <w:sz w:val="18"/>
                <w:szCs w:val="18"/>
                <w:lang w:eastAsia="zh-CN"/>
              </w:rPr>
              <w:t>，</w:t>
            </w:r>
            <w:r>
              <w:rPr>
                <w:rFonts w:hint="eastAsia" w:ascii="Times New Roman" w:hAnsi="Times New Roman" w:eastAsia="宋体" w:cs="宋体"/>
                <w:color w:val="000000"/>
                <w:sz w:val="18"/>
                <w:szCs w:val="18"/>
              </w:rPr>
              <w:t>向旅客明示退票、改签等规定</w:t>
            </w:r>
            <w:r>
              <w:rPr>
                <w:rFonts w:hint="eastAsia" w:ascii="Times New Roman" w:hAnsi="Times New Roman" w:eastAsia="宋体" w:cs="宋体"/>
                <w:color w:val="000000"/>
                <w:sz w:val="18"/>
                <w:szCs w:val="18"/>
                <w:lang w:eastAsia="zh-CN"/>
              </w:rPr>
              <w:t>，按规定提供</w:t>
            </w:r>
            <w:r>
              <w:rPr>
                <w:rFonts w:hint="eastAsia" w:ascii="Times New Roman" w:hAnsi="Times New Roman" w:eastAsia="宋体" w:cs="宋体"/>
                <w:color w:val="000000"/>
                <w:sz w:val="18"/>
                <w:szCs w:val="18"/>
              </w:rPr>
              <w:t>优先、优惠、免票等优待服务</w:t>
            </w:r>
            <w:r>
              <w:rPr>
                <w:rFonts w:hint="eastAsia" w:ascii="Times New Roman" w:hAnsi="Times New Roman" w:eastAsia="宋体" w:cs="宋体"/>
                <w:color w:val="000000"/>
                <w:sz w:val="18"/>
                <w:szCs w:val="18"/>
                <w:lang w:val="zh-CN"/>
              </w:rPr>
              <w:t>。</w:t>
            </w:r>
            <w:r>
              <w:rPr>
                <w:rFonts w:hint="eastAsia" w:ascii="Times New Roman" w:hAnsi="Times New Roman" w:eastAsia="宋体" w:cs="宋体"/>
                <w:sz w:val="18"/>
                <w:szCs w:val="18"/>
              </w:rPr>
              <w:t xml:space="preserve"> </w:t>
            </w:r>
          </w:p>
          <w:p w14:paraId="0514303B">
            <w:pPr>
              <w:spacing w:line="240" w:lineRule="exact"/>
              <w:rPr>
                <w:rFonts w:hint="eastAsia" w:ascii="Times New Roman" w:hAnsi="Times New Roman" w:eastAsia="宋体" w:cs="宋体"/>
                <w:sz w:val="18"/>
                <w:szCs w:val="18"/>
                <w:lang w:val="zh-CN" w:eastAsia="zh-CN"/>
              </w:rPr>
            </w:pPr>
            <w:r>
              <w:rPr>
                <w:rFonts w:hint="eastAsia" w:ascii="Times New Roman" w:hAnsi="Times New Roman" w:eastAsia="宋体" w:cs="宋体"/>
                <w:sz w:val="18"/>
                <w:szCs w:val="18"/>
                <w:lang w:val="en-US" w:eastAsia="zh-CN"/>
              </w:rPr>
              <w:t>4.</w:t>
            </w:r>
            <w:r>
              <w:rPr>
                <w:rFonts w:hint="eastAsia" w:ascii="Times New Roman" w:hAnsi="Times New Roman" w:eastAsia="宋体" w:cs="宋体"/>
                <w:color w:val="000000"/>
                <w:sz w:val="18"/>
                <w:szCs w:val="18"/>
              </w:rPr>
              <w:t>配备具有相应业务知识和技能的乘务人员</w:t>
            </w:r>
            <w:r>
              <w:rPr>
                <w:rFonts w:hint="eastAsia" w:ascii="Times New Roman" w:hAnsi="Times New Roman" w:eastAsia="宋体" w:cs="宋体"/>
                <w:color w:val="000000"/>
                <w:sz w:val="18"/>
                <w:szCs w:val="18"/>
                <w:lang w:eastAsia="zh-CN"/>
              </w:rPr>
              <w:t>，</w:t>
            </w:r>
            <w:r>
              <w:rPr>
                <w:rFonts w:hint="eastAsia" w:ascii="Times New Roman" w:hAnsi="Times New Roman" w:eastAsia="宋体" w:cs="宋体"/>
                <w:color w:val="000000"/>
                <w:sz w:val="18"/>
                <w:szCs w:val="18"/>
              </w:rPr>
              <w:t>保持船上服务设施和警告标识完好</w:t>
            </w:r>
            <w:r>
              <w:rPr>
                <w:rFonts w:hint="eastAsia" w:ascii="Times New Roman" w:hAnsi="Times New Roman" w:eastAsia="宋体" w:cs="宋体"/>
                <w:color w:val="000000"/>
                <w:sz w:val="18"/>
                <w:szCs w:val="18"/>
                <w:lang w:eastAsia="zh-CN"/>
              </w:rPr>
              <w:t>等</w:t>
            </w:r>
            <w:r>
              <w:rPr>
                <w:rFonts w:hint="eastAsia" w:ascii="Times New Roman" w:hAnsi="Times New Roman" w:eastAsia="宋体" w:cs="宋体"/>
                <w:sz w:val="18"/>
                <w:szCs w:val="18"/>
                <w:lang w:val="zh-CN" w:eastAsia="zh-CN"/>
              </w:rPr>
              <w:t>。</w:t>
            </w:r>
          </w:p>
          <w:p w14:paraId="20CC90E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5.客运站站容干净整洁；车辆进出通道畅通有序，旅客进出站流程合理；配备必要的安全检查、饮用水、空调、垃圾收集处理等设施设备；广播或显示屏清楚及时发布客运、航班变更信息等。</w:t>
            </w:r>
          </w:p>
        </w:tc>
        <w:tc>
          <w:tcPr>
            <w:tcW w:w="3825" w:type="dxa"/>
            <w:noWrap w:val="0"/>
            <w:vAlign w:val="top"/>
          </w:tcPr>
          <w:p w14:paraId="02E6517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05C16BF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2071B6F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54B93B9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3C0424B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5D7FD43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3243A929">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0AC4BEC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449D7AA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3AAD51D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5734AE6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589DA9F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03170D0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5DA4597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114A66B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3019223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每年抽查1-2次，抽查企业比例不低于20%。</w:t>
            </w:r>
          </w:p>
        </w:tc>
      </w:tr>
      <w:tr w14:paraId="6802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2" w:hRule="atLeast"/>
          <w:jc w:val="center"/>
        </w:trPr>
        <w:tc>
          <w:tcPr>
            <w:tcW w:w="562" w:type="dxa"/>
            <w:noWrap w:val="0"/>
            <w:vAlign w:val="top"/>
          </w:tcPr>
          <w:p w14:paraId="1A75D390">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6</w:t>
            </w:r>
          </w:p>
        </w:tc>
        <w:tc>
          <w:tcPr>
            <w:tcW w:w="768" w:type="dxa"/>
            <w:noWrap w:val="0"/>
            <w:vAlign w:val="top"/>
          </w:tcPr>
          <w:p w14:paraId="35CF882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琼州海峡水路运输旅客实名制监督检查</w:t>
            </w:r>
          </w:p>
        </w:tc>
        <w:tc>
          <w:tcPr>
            <w:tcW w:w="693" w:type="dxa"/>
            <w:noWrap w:val="0"/>
            <w:vAlign w:val="top"/>
          </w:tcPr>
          <w:p w14:paraId="3B1EE9C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4FCFC94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琼州海峡省际客船运输企业和港口企业（见《琼州海峡省际客船运输企业和港口企业主体名录库》）</w:t>
            </w:r>
          </w:p>
        </w:tc>
        <w:tc>
          <w:tcPr>
            <w:tcW w:w="792" w:type="dxa"/>
            <w:noWrap w:val="0"/>
            <w:vAlign w:val="top"/>
          </w:tcPr>
          <w:p w14:paraId="14472F8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实地检查/书面检查</w:t>
            </w:r>
          </w:p>
        </w:tc>
        <w:tc>
          <w:tcPr>
            <w:tcW w:w="819" w:type="dxa"/>
            <w:noWrap w:val="0"/>
            <w:vAlign w:val="top"/>
          </w:tcPr>
          <w:p w14:paraId="064D09A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运输服务处</w:t>
            </w:r>
          </w:p>
        </w:tc>
        <w:tc>
          <w:tcPr>
            <w:tcW w:w="2346" w:type="dxa"/>
            <w:noWrap w:val="0"/>
            <w:vAlign w:val="top"/>
          </w:tcPr>
          <w:p w14:paraId="344810BF">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1</w:t>
            </w:r>
            <w:r>
              <w:rPr>
                <w:rFonts w:hint="eastAsia" w:ascii="Times New Roman" w:hAnsi="Times New Roman" w:eastAsia="宋体" w:cs="宋体"/>
                <w:color w:val="000000"/>
                <w:sz w:val="18"/>
                <w:szCs w:val="18"/>
              </w:rPr>
              <w:t>.《交通运输部关于交通运输部珠江航务管理局主要职责机构设置和人员编制的通知》（交人教发〔2017〕133号）。</w:t>
            </w:r>
          </w:p>
          <w:p w14:paraId="515E1B1D">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2</w:t>
            </w:r>
            <w:r>
              <w:rPr>
                <w:rFonts w:hint="eastAsia" w:ascii="Times New Roman" w:hAnsi="Times New Roman" w:eastAsia="宋体" w:cs="宋体"/>
                <w:color w:val="000000"/>
                <w:sz w:val="18"/>
                <w:szCs w:val="18"/>
              </w:rPr>
              <w:t>.《水路旅客运输实名制管理规定》（交通运输部令 2016年第77号）。</w:t>
            </w:r>
          </w:p>
          <w:p w14:paraId="4CED4944">
            <w:pPr>
              <w:spacing w:line="240" w:lineRule="exact"/>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lang w:val="en-US" w:eastAsia="zh-CN"/>
              </w:rPr>
              <w:t>3</w:t>
            </w:r>
            <w:r>
              <w:rPr>
                <w:rFonts w:hint="eastAsia" w:ascii="Times New Roman" w:hAnsi="Times New Roman" w:eastAsia="宋体" w:cs="宋体"/>
                <w:color w:val="000000"/>
                <w:sz w:val="18"/>
                <w:szCs w:val="18"/>
              </w:rPr>
              <w:t>.《交通运输部关于贯彻实施水路旅客运输实名制管理规定有关工作的通知》（交水函〔2016〕665号）等。</w:t>
            </w:r>
          </w:p>
          <w:p w14:paraId="1F03A707">
            <w:pPr>
              <w:spacing w:line="240" w:lineRule="exact"/>
              <w:rPr>
                <w:rFonts w:hint="eastAsia" w:ascii="Times New Roman" w:hAnsi="Times New Roman" w:eastAsia="宋体" w:cs="宋体"/>
                <w:sz w:val="18"/>
                <w:szCs w:val="18"/>
              </w:rPr>
            </w:pPr>
            <w:r>
              <w:rPr>
                <w:rFonts w:hint="eastAsia" w:ascii="Times New Roman" w:hAnsi="Times New Roman" w:eastAsia="宋体" w:cs="宋体"/>
                <w:color w:val="000000"/>
                <w:sz w:val="18"/>
                <w:szCs w:val="18"/>
                <w:lang w:val="en-US" w:eastAsia="zh-CN"/>
              </w:rPr>
              <w:t>4</w:t>
            </w:r>
            <w:r>
              <w:rPr>
                <w:rFonts w:hint="eastAsia" w:ascii="Times New Roman" w:hAnsi="Times New Roman" w:eastAsia="宋体" w:cs="宋体"/>
                <w:color w:val="000000"/>
                <w:sz w:val="18"/>
                <w:szCs w:val="18"/>
              </w:rPr>
              <w:t>.《交通运输部关于公布交通运输部行政处罚、行政检查事项清单和收费目录清单的公告》（交通运输部公告2017年第34号）等。</w:t>
            </w:r>
          </w:p>
        </w:tc>
        <w:tc>
          <w:tcPr>
            <w:tcW w:w="992" w:type="dxa"/>
            <w:noWrap w:val="0"/>
            <w:vAlign w:val="top"/>
          </w:tcPr>
          <w:p w14:paraId="78F6EF8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港航企业水路旅客运输实名售票情况、实名查验情况、信息沟通与统计情况、人员培训情况、系统及设备管理情况、应急预案制定落实等情况</w:t>
            </w:r>
            <w:r>
              <w:rPr>
                <w:rFonts w:hint="eastAsia" w:ascii="Times New Roman" w:hAnsi="Times New Roman" w:eastAsia="宋体" w:cs="宋体"/>
                <w:sz w:val="18"/>
                <w:szCs w:val="18"/>
                <w:lang w:eastAsia="zh-CN"/>
              </w:rPr>
              <w:t>。</w:t>
            </w:r>
          </w:p>
        </w:tc>
        <w:tc>
          <w:tcPr>
            <w:tcW w:w="2554" w:type="dxa"/>
            <w:noWrap w:val="0"/>
            <w:vAlign w:val="top"/>
          </w:tcPr>
          <w:p w14:paraId="2834DABA">
            <w:pPr>
              <w:adjustRightInd w:val="0"/>
              <w:snapToGrid w:val="0"/>
              <w:rPr>
                <w:rFonts w:hint="eastAsia" w:ascii="Times New Roman" w:hAnsi="Times New Roman" w:eastAsia="宋体" w:cs="宋体"/>
                <w:color w:val="000000"/>
                <w:sz w:val="18"/>
                <w:szCs w:val="18"/>
                <w:lang w:val="en-US" w:eastAsia="zh-CN"/>
              </w:rPr>
            </w:pPr>
            <w:r>
              <w:rPr>
                <w:rFonts w:hint="eastAsia" w:ascii="Times New Roman" w:hAnsi="Times New Roman" w:eastAsia="宋体" w:cs="宋体"/>
                <w:color w:val="000000"/>
                <w:sz w:val="18"/>
                <w:szCs w:val="18"/>
                <w:lang w:val="en-US" w:eastAsia="zh-CN"/>
              </w:rPr>
              <w:t>1.</w:t>
            </w:r>
            <w:r>
              <w:rPr>
                <w:rFonts w:hint="eastAsia" w:ascii="Times New Roman" w:hAnsi="Times New Roman" w:eastAsia="宋体" w:cs="宋体"/>
                <w:color w:val="000000"/>
                <w:sz w:val="18"/>
                <w:szCs w:val="18"/>
              </w:rPr>
              <w:t>开展实名制管理相关人员的培训、考核，确保人员培训合格</w:t>
            </w:r>
            <w:r>
              <w:rPr>
                <w:rFonts w:hint="eastAsia" w:ascii="Times New Roman" w:hAnsi="Times New Roman" w:eastAsia="宋体" w:cs="宋体"/>
                <w:color w:val="000000"/>
                <w:sz w:val="18"/>
                <w:szCs w:val="18"/>
                <w:lang w:eastAsia="zh-CN"/>
              </w:rPr>
              <w:t>。</w:t>
            </w:r>
          </w:p>
          <w:p w14:paraId="5A7230C2">
            <w:pPr>
              <w:adjustRightInd w:val="0"/>
              <w:snapToGrid w:val="0"/>
              <w:rPr>
                <w:rFonts w:hint="eastAsia" w:ascii="Times New Roman" w:hAnsi="Times New Roman" w:eastAsia="宋体" w:cs="宋体"/>
                <w:color w:val="000000"/>
                <w:sz w:val="18"/>
                <w:szCs w:val="18"/>
                <w:lang w:eastAsia="zh-CN"/>
              </w:rPr>
            </w:pPr>
            <w:r>
              <w:rPr>
                <w:rFonts w:hint="eastAsia" w:ascii="Times New Roman" w:hAnsi="Times New Roman" w:eastAsia="宋体" w:cs="宋体"/>
                <w:color w:val="000000"/>
                <w:sz w:val="18"/>
                <w:szCs w:val="18"/>
                <w:lang w:val="en-US" w:eastAsia="zh-CN"/>
              </w:rPr>
              <w:t>2.</w:t>
            </w:r>
            <w:r>
              <w:rPr>
                <w:rFonts w:hint="eastAsia" w:ascii="Times New Roman" w:hAnsi="Times New Roman" w:eastAsia="宋体" w:cs="宋体"/>
                <w:color w:val="000000"/>
                <w:sz w:val="18"/>
                <w:szCs w:val="18"/>
              </w:rPr>
              <w:t>及时分类统计船载旅客数量，并与港口经营人交换相关信息</w:t>
            </w:r>
            <w:r>
              <w:rPr>
                <w:rFonts w:hint="eastAsia" w:ascii="Times New Roman" w:hAnsi="Times New Roman" w:eastAsia="宋体" w:cs="宋体"/>
                <w:color w:val="000000"/>
                <w:sz w:val="18"/>
                <w:szCs w:val="18"/>
                <w:lang w:eastAsia="zh-CN"/>
              </w:rPr>
              <w:t>。</w:t>
            </w:r>
          </w:p>
          <w:p w14:paraId="2643F7C4">
            <w:pPr>
              <w:adjustRightInd w:val="0"/>
              <w:snapToGrid w:val="0"/>
              <w:rPr>
                <w:rFonts w:hint="eastAsia" w:ascii="Times New Roman" w:hAnsi="Times New Roman" w:eastAsia="宋体" w:cs="宋体"/>
                <w:color w:val="000000"/>
                <w:sz w:val="18"/>
                <w:szCs w:val="18"/>
                <w:lang w:eastAsia="zh-CN"/>
              </w:rPr>
            </w:pPr>
            <w:r>
              <w:rPr>
                <w:rFonts w:hint="eastAsia" w:ascii="Times New Roman" w:hAnsi="Times New Roman" w:eastAsia="宋体" w:cs="宋体"/>
                <w:color w:val="000000"/>
                <w:sz w:val="18"/>
                <w:szCs w:val="18"/>
                <w:lang w:val="en-US" w:eastAsia="zh-CN"/>
              </w:rPr>
              <w:t>3.</w:t>
            </w:r>
            <w:r>
              <w:rPr>
                <w:rFonts w:hint="eastAsia" w:ascii="Times New Roman" w:hAnsi="Times New Roman" w:eastAsia="宋体" w:cs="宋体"/>
                <w:color w:val="000000"/>
                <w:sz w:val="18"/>
                <w:szCs w:val="18"/>
              </w:rPr>
              <w:t>配备船票、身份证扫描设备和信息存储设备等实名制查验的必要设施设备；配备临时身份证件受理点或相关指引服务</w:t>
            </w:r>
            <w:r>
              <w:rPr>
                <w:rFonts w:hint="eastAsia" w:ascii="Times New Roman" w:hAnsi="Times New Roman" w:eastAsia="宋体" w:cs="宋体"/>
                <w:color w:val="000000"/>
                <w:sz w:val="18"/>
                <w:szCs w:val="18"/>
                <w:lang w:eastAsia="zh-CN"/>
              </w:rPr>
              <w:t>。</w:t>
            </w:r>
          </w:p>
          <w:p w14:paraId="0C77C279">
            <w:pPr>
              <w:adjustRightInd w:val="0"/>
              <w:snapToGrid w:val="0"/>
              <w:rPr>
                <w:rFonts w:hint="eastAsia" w:ascii="Times New Roman" w:hAnsi="Times New Roman" w:eastAsia="宋体" w:cs="宋体"/>
                <w:color w:val="000000"/>
                <w:sz w:val="18"/>
                <w:szCs w:val="18"/>
                <w:lang w:eastAsia="zh-CN"/>
              </w:rPr>
            </w:pPr>
            <w:r>
              <w:rPr>
                <w:rFonts w:hint="eastAsia" w:ascii="Times New Roman" w:hAnsi="Times New Roman" w:eastAsia="宋体" w:cs="宋体"/>
                <w:color w:val="000000"/>
                <w:sz w:val="18"/>
                <w:szCs w:val="18"/>
                <w:lang w:val="en-US" w:eastAsia="zh-CN"/>
              </w:rPr>
              <w:t>4.</w:t>
            </w:r>
            <w:r>
              <w:rPr>
                <w:rFonts w:hint="eastAsia" w:ascii="Times New Roman" w:hAnsi="Times New Roman" w:eastAsia="宋体" w:cs="宋体"/>
                <w:color w:val="000000"/>
                <w:sz w:val="18"/>
                <w:szCs w:val="18"/>
              </w:rPr>
              <w:t>在乘船人登船前，对乘船人进行实名查验并记录有关信息</w:t>
            </w:r>
            <w:r>
              <w:rPr>
                <w:rFonts w:hint="eastAsia" w:ascii="Times New Roman" w:hAnsi="Times New Roman" w:eastAsia="宋体" w:cs="宋体"/>
                <w:color w:val="000000"/>
                <w:sz w:val="18"/>
                <w:szCs w:val="18"/>
                <w:lang w:eastAsia="zh-CN"/>
              </w:rPr>
              <w:t>。</w:t>
            </w:r>
          </w:p>
          <w:p w14:paraId="754B65CF">
            <w:pPr>
              <w:spacing w:line="240" w:lineRule="exact"/>
              <w:rPr>
                <w:rFonts w:hint="eastAsia" w:ascii="Times New Roman" w:hAnsi="Times New Roman" w:eastAsia="宋体" w:cs="宋体"/>
                <w:sz w:val="18"/>
                <w:szCs w:val="18"/>
              </w:rPr>
            </w:pPr>
            <w:r>
              <w:rPr>
                <w:rFonts w:hint="eastAsia" w:ascii="Times New Roman" w:hAnsi="Times New Roman" w:eastAsia="宋体" w:cs="宋体"/>
                <w:color w:val="000000"/>
                <w:sz w:val="18"/>
                <w:szCs w:val="18"/>
                <w:lang w:val="en-US" w:eastAsia="zh-CN"/>
              </w:rPr>
              <w:t>5.</w:t>
            </w:r>
            <w:r>
              <w:rPr>
                <w:rFonts w:hint="eastAsia" w:ascii="Times New Roman" w:hAnsi="Times New Roman" w:eastAsia="宋体" w:cs="宋体"/>
                <w:color w:val="000000"/>
                <w:sz w:val="18"/>
                <w:szCs w:val="18"/>
              </w:rPr>
              <w:t>针对客流高峰，恶劣天气及设备系统故障，重大安保活动等特殊情况制定有效的应急预案</w:t>
            </w:r>
            <w:r>
              <w:rPr>
                <w:rFonts w:hint="eastAsia" w:ascii="Times New Roman" w:hAnsi="Times New Roman" w:eastAsia="宋体" w:cs="宋体"/>
                <w:color w:val="000000"/>
                <w:sz w:val="18"/>
                <w:szCs w:val="18"/>
                <w:lang w:eastAsia="zh-CN"/>
              </w:rPr>
              <w:t>。</w:t>
            </w:r>
          </w:p>
        </w:tc>
        <w:tc>
          <w:tcPr>
            <w:tcW w:w="3825" w:type="dxa"/>
            <w:noWrap w:val="0"/>
            <w:vAlign w:val="top"/>
          </w:tcPr>
          <w:p w14:paraId="464B7F0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1.制定年度监督检查计划。</w:t>
            </w:r>
          </w:p>
          <w:p w14:paraId="143EEA5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2.根据年度计划或上级来文，制定具体的实施方案。</w:t>
            </w:r>
          </w:p>
          <w:p w14:paraId="0DCD488E">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3.监督检查。</w:t>
            </w:r>
          </w:p>
          <w:p w14:paraId="58C433B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（1）准备阶段。</w:t>
            </w:r>
          </w:p>
          <w:p w14:paraId="107C9021">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①确定被检查对象。从企业或船舶主体名录库中随机抽取。</w:t>
            </w:r>
          </w:p>
          <w:p w14:paraId="5DDE570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②确定检查人员（含专家）。从检查人员名录库中随机抽取。</w:t>
            </w:r>
          </w:p>
          <w:p w14:paraId="6B5D202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③起草检查通知，附检查内容清单，并发布通知。</w:t>
            </w:r>
          </w:p>
          <w:p w14:paraId="49B6537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（2）检查阶段。</w:t>
            </w:r>
          </w:p>
          <w:p w14:paraId="5219876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①按要求开展监督检查工作。</w:t>
            </w:r>
          </w:p>
          <w:p w14:paraId="2B0FA4E6">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②工作记录。包括人员签到、检查情况记录等工作台账。</w:t>
            </w:r>
          </w:p>
          <w:p w14:paraId="742B31C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③填写检查情况表，现场反馈检查表格。</w:t>
            </w:r>
          </w:p>
          <w:p w14:paraId="099F29F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4.后续工作。</w:t>
            </w:r>
          </w:p>
          <w:p w14:paraId="45A97B1F">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（1）抓好落实。向被检查对象发文反馈检查情况、检查结果和整改要求。</w:t>
            </w:r>
          </w:p>
          <w:p w14:paraId="5AA24CC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（2）做好回访。对需要整改的问题，督促企业及时报送整改情况报告；督促企业所在地市交通运输主管部门开展复核，及时向我局报送整改情况报告；必要时开展回访复核。</w:t>
            </w:r>
          </w:p>
          <w:p w14:paraId="6F799F6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（3）结果运用。将监督检查结果统一录入相关数据库，按要求对外进行公示。</w:t>
            </w:r>
          </w:p>
        </w:tc>
        <w:tc>
          <w:tcPr>
            <w:tcW w:w="1085" w:type="dxa"/>
            <w:noWrap w:val="0"/>
            <w:vAlign w:val="top"/>
          </w:tcPr>
          <w:p w14:paraId="125F069D">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每年抽查1-2次，抽查企业比例不低于20%。</w:t>
            </w:r>
          </w:p>
        </w:tc>
      </w:tr>
      <w:tr w14:paraId="61D6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0" w:hRule="atLeast"/>
          <w:jc w:val="center"/>
        </w:trPr>
        <w:tc>
          <w:tcPr>
            <w:tcW w:w="562" w:type="dxa"/>
            <w:noWrap w:val="0"/>
            <w:vAlign w:val="top"/>
          </w:tcPr>
          <w:p w14:paraId="2F54157B">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7</w:t>
            </w:r>
          </w:p>
        </w:tc>
        <w:tc>
          <w:tcPr>
            <w:tcW w:w="768" w:type="dxa"/>
            <w:noWrap w:val="0"/>
            <w:vAlign w:val="top"/>
          </w:tcPr>
          <w:p w14:paraId="764176B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珠江水系水运建设市场监督检查</w:t>
            </w:r>
          </w:p>
        </w:tc>
        <w:tc>
          <w:tcPr>
            <w:tcW w:w="693" w:type="dxa"/>
            <w:noWrap w:val="0"/>
            <w:vAlign w:val="top"/>
          </w:tcPr>
          <w:p w14:paraId="421C839B">
            <w:pPr>
              <w:spacing w:line="240" w:lineRule="exact"/>
              <w:jc w:val="center"/>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noWrap w:val="0"/>
            <w:vAlign w:val="top"/>
          </w:tcPr>
          <w:p w14:paraId="4A689C1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珠江水系水运建设项目及从业单位</w:t>
            </w:r>
          </w:p>
        </w:tc>
        <w:tc>
          <w:tcPr>
            <w:tcW w:w="792" w:type="dxa"/>
            <w:noWrap w:val="0"/>
            <w:vAlign w:val="top"/>
          </w:tcPr>
          <w:p w14:paraId="718325A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实地检查，以联合抽查为主</w:t>
            </w:r>
          </w:p>
        </w:tc>
        <w:tc>
          <w:tcPr>
            <w:tcW w:w="819" w:type="dxa"/>
            <w:noWrap w:val="0"/>
            <w:vAlign w:val="top"/>
          </w:tcPr>
          <w:p w14:paraId="4FDDA8C3">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航道与工程管理处</w:t>
            </w:r>
          </w:p>
        </w:tc>
        <w:tc>
          <w:tcPr>
            <w:tcW w:w="2346" w:type="dxa"/>
            <w:noWrap w:val="0"/>
            <w:vAlign w:val="top"/>
          </w:tcPr>
          <w:p w14:paraId="4938F129">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z w:val="18"/>
                <w:szCs w:val="18"/>
              </w:rPr>
              <w:t>1.</w:t>
            </w:r>
            <w:r>
              <w:rPr>
                <w:rFonts w:hint="eastAsia" w:ascii="Times New Roman" w:hAnsi="Times New Roman" w:eastAsia="宋体" w:cs="宋体"/>
                <w:spacing w:val="-6"/>
                <w:sz w:val="18"/>
                <w:szCs w:val="18"/>
              </w:rPr>
              <w:t>《交通运输部关于交通运输部珠江航务管理局主要职责机构设置和人员编制的通知》（交人教发〔2017〕133号）。</w:t>
            </w:r>
          </w:p>
          <w:p w14:paraId="0A38D4AA">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2.《航道法》（2014年主席令第十七号，2016年修正）。</w:t>
            </w:r>
          </w:p>
          <w:p w14:paraId="2B2FA011">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3.《航道工程建设管理规定》（交通运输部令2019年第44号）。</w:t>
            </w:r>
          </w:p>
          <w:p w14:paraId="393AA646">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4.《港口工程建设管理规定》（交通运输部令2018年第2号，2018年11月28日第一次修正，2019年11月28日第二次修正）。</w:t>
            </w:r>
          </w:p>
          <w:p w14:paraId="2A5CD47F">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5.《水运工程建设项目招标投标管理办法》（交通运输部令2012年第11号，2021年8月11日修正）。</w:t>
            </w:r>
          </w:p>
          <w:p w14:paraId="28BF9B25">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6.《水运建设市场监督管理办法》（交通运输部令2016年第74号）。</w:t>
            </w:r>
          </w:p>
          <w:p w14:paraId="633C44C5">
            <w:pPr>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7.《交通运输部关于公布交通运输部行政处罚、行政检查事项清单和收费目录清单的公告》（交通运输部公告2017年第34号）。</w:t>
            </w:r>
          </w:p>
          <w:p w14:paraId="136C1981">
            <w:pPr>
              <w:spacing w:line="240" w:lineRule="exact"/>
              <w:rPr>
                <w:rFonts w:hint="eastAsia" w:ascii="Times New Roman" w:hAnsi="Times New Roman" w:eastAsia="宋体" w:cs="宋体"/>
                <w:sz w:val="18"/>
                <w:szCs w:val="18"/>
              </w:rPr>
            </w:pPr>
            <w:r>
              <w:rPr>
                <w:rFonts w:hint="eastAsia" w:ascii="Times New Roman" w:hAnsi="Times New Roman" w:eastAsia="宋体" w:cs="宋体"/>
                <w:spacing w:val="-6"/>
                <w:sz w:val="18"/>
                <w:szCs w:val="18"/>
              </w:rPr>
              <w:t>8. 《建设工程质量管理条例》（国务院令2010年第279号，2017年第一次修改，2019年第二次修改）。</w:t>
            </w:r>
          </w:p>
        </w:tc>
        <w:tc>
          <w:tcPr>
            <w:tcW w:w="992" w:type="dxa"/>
            <w:noWrap w:val="0"/>
            <w:vAlign w:val="top"/>
          </w:tcPr>
          <w:p w14:paraId="48BB945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珠江水系水运建设项目法规标准执行情况、市场准入情况（企业和个人）、基本建设程序履行情况、合同履约情况、廉政建设情况、信用管理情况、工程质量等进行监督检查。</w:t>
            </w:r>
          </w:p>
        </w:tc>
        <w:tc>
          <w:tcPr>
            <w:tcW w:w="2554" w:type="dxa"/>
            <w:noWrap w:val="0"/>
            <w:vAlign w:val="top"/>
          </w:tcPr>
          <w:p w14:paraId="4F0695A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1.项目建设应严格执行水运建设项目法规及工程技术标准，并严格按照批准的规模和标准进行建设。</w:t>
            </w:r>
          </w:p>
          <w:p w14:paraId="27E6EEE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2.项目单位与设计、施工、监理、检测等从业单位及其从业人员应具有与所承揽工程建设要求相应的资质。</w:t>
            </w:r>
          </w:p>
          <w:p w14:paraId="621531BB">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3.项目建设应严格履行基本建设程序，无缺项、任一环节倒置或未批先建、转包、违法发包分包等行为。</w:t>
            </w:r>
          </w:p>
          <w:p w14:paraId="3051DDC7">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4.项目单位与设计、施工、监理、检测等项目建设各相关单位应按照合同约定全面履行义务。</w:t>
            </w:r>
          </w:p>
          <w:p w14:paraId="411A5DEC">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5.项目单位应建立健全并落实廉政制度，做好廉政教育及监督，对相关投诉和反映问题进行及时有效处理。</w:t>
            </w:r>
          </w:p>
          <w:p w14:paraId="5BCB9208">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6.项目单位应按时对设计、施工、监理等项目建设各相关单位进行信用评价，做好信用信息管理、评价结果告知及报送等工作。</w:t>
            </w:r>
          </w:p>
          <w:p w14:paraId="6D0F2F9D">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7.项目单位应建立落实质量责任制度、管理制度；项目应严格按照强制性标准进行施工，达到合同约定的质量标准。</w:t>
            </w:r>
          </w:p>
        </w:tc>
        <w:tc>
          <w:tcPr>
            <w:tcW w:w="3825" w:type="dxa"/>
            <w:noWrap w:val="0"/>
            <w:vAlign w:val="top"/>
          </w:tcPr>
          <w:p w14:paraId="68F3C452">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1.制定计划。年初，制定珠江水系水运建设市场的年度监督检查计划。</w:t>
            </w:r>
          </w:p>
          <w:p w14:paraId="2F8987E3">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2.监督检查。按照《水运建设市场监督管理办法》开展监督检查。</w:t>
            </w:r>
          </w:p>
          <w:p w14:paraId="3AF79A39">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（1）准备阶段。</w:t>
            </w:r>
          </w:p>
          <w:p w14:paraId="21F0767B">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①起草《通知》。附检查内容清单/目录。</w:t>
            </w:r>
          </w:p>
          <w:p w14:paraId="5C07BDDC">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②确定检查专家。从专家名录库中随机抽取。</w:t>
            </w:r>
          </w:p>
          <w:p w14:paraId="4D015283">
            <w:pPr>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③确定被检查对象。从珠江水系水运建设项目主体名录库中随机抽取。</w:t>
            </w:r>
          </w:p>
          <w:p w14:paraId="46E41461">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④发布通知。向被检查对象及相关单位发出通知。</w:t>
            </w:r>
          </w:p>
          <w:p w14:paraId="2BE93777">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（2）检查阶段。</w:t>
            </w:r>
          </w:p>
          <w:p w14:paraId="7BA3013F">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①监督检查。根据本项检查所列抽查内容及抽查标准开展监督检查。</w:t>
            </w:r>
          </w:p>
          <w:p w14:paraId="2DD8042C">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②工作记录。包括人员签到、会议记录、检查情况记录以及通过照片、视频固化的证据。</w:t>
            </w:r>
          </w:p>
          <w:p w14:paraId="0BADBBBA">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③初步结论。对监督检查情况，形成初步检查结论。情形特别严重的，应当场提出整改并留下证据。</w:t>
            </w:r>
          </w:p>
          <w:p w14:paraId="6319D807">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3.依法处置。</w:t>
            </w:r>
          </w:p>
          <w:p w14:paraId="719BEE42">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（1）抓好落实。</w:t>
            </w:r>
          </w:p>
          <w:p w14:paraId="0C609FE8">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①出具监督检查报告及处置意见。</w:t>
            </w:r>
          </w:p>
          <w:p w14:paraId="5A351AC4">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②将检查情况、检查结果和处置决定书面告知被检查对象，并责令迅速整改。</w:t>
            </w:r>
          </w:p>
          <w:p w14:paraId="1B09F7F6">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③将检查情况、检查结果和处置决定向社会公布。</w:t>
            </w:r>
          </w:p>
          <w:p w14:paraId="4F0A70EC">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（2）做好回访。</w:t>
            </w:r>
          </w:p>
          <w:p w14:paraId="7FFE03AB">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对需要整改的项目，须督促项目从业主体及时报送整改情况报告，并适时进行现场回访。</w:t>
            </w:r>
          </w:p>
          <w:p w14:paraId="6ED5DB22">
            <w:pPr>
              <w:adjustRightInd w:val="0"/>
              <w:snapToGrid w:val="0"/>
              <w:spacing w:line="240" w:lineRule="exact"/>
              <w:rPr>
                <w:rFonts w:hint="eastAsia" w:ascii="Times New Roman" w:hAnsi="Times New Roman" w:eastAsia="宋体" w:cs="宋体"/>
                <w:b w:val="0"/>
                <w:bCs/>
                <w:spacing w:val="-6"/>
                <w:sz w:val="18"/>
                <w:szCs w:val="18"/>
              </w:rPr>
            </w:pPr>
            <w:r>
              <w:rPr>
                <w:rFonts w:hint="eastAsia" w:ascii="Times New Roman" w:hAnsi="Times New Roman" w:eastAsia="宋体" w:cs="宋体"/>
                <w:b w:val="0"/>
                <w:bCs/>
                <w:spacing w:val="-6"/>
                <w:sz w:val="18"/>
                <w:szCs w:val="18"/>
              </w:rPr>
              <w:t>（3）结果运用。</w:t>
            </w:r>
          </w:p>
          <w:p w14:paraId="547D2EAB">
            <w:pPr>
              <w:spacing w:line="240" w:lineRule="exact"/>
              <w:rPr>
                <w:rFonts w:hint="eastAsia" w:ascii="Times New Roman" w:hAnsi="Times New Roman" w:eastAsia="宋体" w:cs="宋体"/>
                <w:b w:val="0"/>
                <w:bCs/>
                <w:sz w:val="18"/>
                <w:szCs w:val="18"/>
              </w:rPr>
            </w:pPr>
            <w:r>
              <w:rPr>
                <w:rFonts w:hint="eastAsia" w:ascii="Times New Roman" w:hAnsi="Times New Roman" w:eastAsia="宋体" w:cs="宋体"/>
                <w:b w:val="0"/>
                <w:bCs/>
                <w:spacing w:val="-6"/>
                <w:sz w:val="18"/>
                <w:szCs w:val="18"/>
              </w:rPr>
              <w:t>将监督检查结果统一录入相关数据库。</w:t>
            </w:r>
          </w:p>
        </w:tc>
        <w:tc>
          <w:tcPr>
            <w:tcW w:w="1085" w:type="dxa"/>
            <w:noWrap w:val="0"/>
            <w:vAlign w:val="top"/>
          </w:tcPr>
          <w:p w14:paraId="52548059">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每年抽查不少于1次，抽查比例不低于1%。</w:t>
            </w:r>
          </w:p>
        </w:tc>
      </w:tr>
      <w:tr w14:paraId="5E04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0" w:hRule="atLeast"/>
          <w:jc w:val="center"/>
        </w:trPr>
        <w:tc>
          <w:tcPr>
            <w:tcW w:w="562" w:type="dxa"/>
            <w:tcBorders>
              <w:bottom w:val="single" w:color="auto" w:sz="4" w:space="0"/>
            </w:tcBorders>
            <w:noWrap w:val="0"/>
            <w:vAlign w:val="top"/>
          </w:tcPr>
          <w:p w14:paraId="1A4CD744">
            <w:pPr>
              <w:jc w:val="center"/>
              <w:rPr>
                <w:rFonts w:hint="eastAsia" w:ascii="Times New Roman" w:hAnsi="Times New Roman" w:eastAsia="宋体" w:cs="宋体"/>
                <w:sz w:val="18"/>
                <w:szCs w:val="18"/>
              </w:rPr>
            </w:pPr>
            <w:r>
              <w:rPr>
                <w:rFonts w:hint="eastAsia" w:ascii="Times New Roman" w:hAnsi="Times New Roman" w:eastAsia="宋体" w:cs="宋体"/>
                <w:sz w:val="18"/>
                <w:szCs w:val="18"/>
              </w:rPr>
              <w:t>8</w:t>
            </w:r>
          </w:p>
        </w:tc>
        <w:tc>
          <w:tcPr>
            <w:tcW w:w="768" w:type="dxa"/>
            <w:tcBorders>
              <w:bottom w:val="single" w:color="auto" w:sz="4" w:space="0"/>
            </w:tcBorders>
            <w:noWrap w:val="0"/>
            <w:vAlign w:val="top"/>
          </w:tcPr>
          <w:p w14:paraId="6DE2AB34">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珠江水运中央投资的建设项目监督检查</w:t>
            </w:r>
          </w:p>
        </w:tc>
        <w:tc>
          <w:tcPr>
            <w:tcW w:w="693" w:type="dxa"/>
            <w:tcBorders>
              <w:bottom w:val="single" w:color="auto" w:sz="4" w:space="0"/>
            </w:tcBorders>
            <w:noWrap w:val="0"/>
            <w:vAlign w:val="top"/>
          </w:tcPr>
          <w:p w14:paraId="7C5A793E">
            <w:pPr>
              <w:spacing w:line="240" w:lineRule="exact"/>
              <w:jc w:val="center"/>
              <w:rPr>
                <w:rFonts w:hint="eastAsia" w:ascii="Times New Roman" w:hAnsi="Times New Roman" w:eastAsia="宋体" w:cs="宋体"/>
                <w:sz w:val="18"/>
                <w:szCs w:val="18"/>
              </w:rPr>
            </w:pPr>
            <w:r>
              <w:rPr>
                <w:rFonts w:hint="eastAsia" w:ascii="Times New Roman" w:hAnsi="Times New Roman" w:eastAsia="宋体" w:cs="宋体"/>
                <w:sz w:val="18"/>
                <w:szCs w:val="18"/>
              </w:rPr>
              <w:t>一般</w:t>
            </w:r>
          </w:p>
        </w:tc>
        <w:tc>
          <w:tcPr>
            <w:tcW w:w="960" w:type="dxa"/>
            <w:tcBorders>
              <w:bottom w:val="single" w:color="auto" w:sz="4" w:space="0"/>
            </w:tcBorders>
            <w:noWrap w:val="0"/>
            <w:vAlign w:val="top"/>
          </w:tcPr>
          <w:p w14:paraId="44780770">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涉及中央投资的珠江水系水运建设项目（见《珠江水运中央投资的建设项目主体名录库》）</w:t>
            </w:r>
          </w:p>
        </w:tc>
        <w:tc>
          <w:tcPr>
            <w:tcW w:w="792" w:type="dxa"/>
            <w:tcBorders>
              <w:bottom w:val="single" w:color="auto" w:sz="4" w:space="0"/>
            </w:tcBorders>
            <w:noWrap w:val="0"/>
            <w:vAlign w:val="top"/>
          </w:tcPr>
          <w:p w14:paraId="52A5B5E5">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实地检查，以联合抽查为主</w:t>
            </w:r>
          </w:p>
        </w:tc>
        <w:tc>
          <w:tcPr>
            <w:tcW w:w="819" w:type="dxa"/>
            <w:tcBorders>
              <w:bottom w:val="single" w:color="auto" w:sz="4" w:space="0"/>
            </w:tcBorders>
            <w:noWrap w:val="0"/>
            <w:vAlign w:val="top"/>
          </w:tcPr>
          <w:p w14:paraId="14AEF44A">
            <w:pPr>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航道与工程管理处</w:t>
            </w:r>
          </w:p>
        </w:tc>
        <w:tc>
          <w:tcPr>
            <w:tcW w:w="2346" w:type="dxa"/>
            <w:tcBorders>
              <w:bottom w:val="single" w:color="auto" w:sz="4" w:space="0"/>
            </w:tcBorders>
            <w:noWrap w:val="0"/>
            <w:vAlign w:val="top"/>
          </w:tcPr>
          <w:p w14:paraId="6BBDBD66">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1.《交通运输部关于交通运输部珠江航务管理局主要职责机构设置和人员编制的通知》（交人教发〔2017〕133号）。</w:t>
            </w:r>
          </w:p>
          <w:p w14:paraId="0E092292">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2.《建设工程安全生产管理条例》（国务院令2003年第393号）。</w:t>
            </w:r>
          </w:p>
          <w:p w14:paraId="2F096FCF">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3.《建设工程质量管理条例》（国务院令2010年第279号，2017年第一次修改，2019年第二次修改）。</w:t>
            </w:r>
          </w:p>
          <w:p w14:paraId="1A8CB87C">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4.《水运建设市场监督管理办法》（交通运输部令2016年第74号）。</w:t>
            </w:r>
          </w:p>
          <w:p w14:paraId="6598E54E">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5.《公路水运工程安全生产监督管理办法》（交通运输部令2017年第25号）。</w:t>
            </w:r>
          </w:p>
          <w:p w14:paraId="24BB65D8">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6.《公路水运工程质量监督管理规定》（交通运输部令2017年第28号）等。</w:t>
            </w:r>
          </w:p>
          <w:p w14:paraId="7AFEBDDD">
            <w:pPr>
              <w:adjustRightInd w:val="0"/>
              <w:snapToGrid w:val="0"/>
              <w:spacing w:line="240" w:lineRule="exact"/>
              <w:rPr>
                <w:rFonts w:hint="eastAsia" w:ascii="Times New Roman" w:hAnsi="Times New Roman" w:eastAsia="宋体" w:cs="宋体"/>
                <w:sz w:val="18"/>
                <w:szCs w:val="18"/>
                <w:lang w:eastAsia="zh-CN"/>
              </w:rPr>
            </w:pPr>
            <w:r>
              <w:rPr>
                <w:rFonts w:hint="eastAsia" w:ascii="Times New Roman" w:hAnsi="Times New Roman" w:eastAsia="宋体" w:cs="宋体"/>
                <w:sz w:val="18"/>
                <w:szCs w:val="18"/>
              </w:rPr>
              <w:t>7.《水运建设工程概算预算编制规定》（交通运输部2019年第57号公告）</w:t>
            </w:r>
            <w:r>
              <w:rPr>
                <w:rFonts w:hint="eastAsia" w:ascii="Times New Roman" w:hAnsi="Times New Roman" w:eastAsia="宋体" w:cs="宋体"/>
                <w:sz w:val="18"/>
                <w:szCs w:val="18"/>
                <w:lang w:eastAsia="zh-CN"/>
              </w:rPr>
              <w:t>。</w:t>
            </w:r>
          </w:p>
        </w:tc>
        <w:tc>
          <w:tcPr>
            <w:tcW w:w="992" w:type="dxa"/>
            <w:tcBorders>
              <w:bottom w:val="single" w:color="auto" w:sz="4" w:space="0"/>
            </w:tcBorders>
            <w:noWrap w:val="0"/>
            <w:vAlign w:val="top"/>
          </w:tcPr>
          <w:p w14:paraId="6025460E">
            <w:pPr>
              <w:widowControl/>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对珠江水系在建中央投资的建设项目履行基本建设程序、合同履约、进度计划、中央投资资金管理、工程质量、安全生产、造价控制等情况进行监督检查。</w:t>
            </w:r>
          </w:p>
        </w:tc>
        <w:tc>
          <w:tcPr>
            <w:tcW w:w="2554" w:type="dxa"/>
            <w:tcBorders>
              <w:bottom w:val="single" w:color="auto" w:sz="4" w:space="0"/>
            </w:tcBorders>
            <w:noWrap w:val="0"/>
            <w:vAlign w:val="top"/>
          </w:tcPr>
          <w:p w14:paraId="027FB3AB">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1.项目建设应严格履行基本建设程序，无缺项、任一环节倒置或未批先建等行为。</w:t>
            </w:r>
          </w:p>
          <w:p w14:paraId="39898570">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2.项目单位与设计、施工、监理、检测等项目建设各相关单位应按照合同约定全面履行义务。</w:t>
            </w:r>
          </w:p>
          <w:p w14:paraId="0640A019">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3.项目建设应严格按照工程进度要求及合同工期开展，不得任意压缩或拖延工程进度和合同工期。</w:t>
            </w:r>
          </w:p>
          <w:p w14:paraId="7D8482BD">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4.项目单位应建立健全财务管理制度，按规定做好中央投资资金的管理及使用。</w:t>
            </w:r>
          </w:p>
          <w:p w14:paraId="7D7CF08A">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5.项目单位应建立落实质量责任制度、管理制度；项目应严格按照强制性标准进行施工，达到合同约定的质量标准。</w:t>
            </w:r>
          </w:p>
          <w:p w14:paraId="609AAA2C">
            <w:pPr>
              <w:adjustRightInd w:val="0"/>
              <w:snapToGrid w:val="0"/>
              <w:spacing w:line="240" w:lineRule="exact"/>
              <w:rPr>
                <w:rFonts w:hint="eastAsia" w:ascii="Times New Roman" w:hAnsi="Times New Roman" w:eastAsia="宋体" w:cs="宋体"/>
                <w:spacing w:val="-6"/>
                <w:sz w:val="18"/>
                <w:szCs w:val="18"/>
              </w:rPr>
            </w:pPr>
            <w:r>
              <w:rPr>
                <w:rFonts w:hint="eastAsia" w:ascii="Times New Roman" w:hAnsi="Times New Roman" w:eastAsia="宋体" w:cs="宋体"/>
                <w:spacing w:val="-6"/>
                <w:sz w:val="18"/>
                <w:szCs w:val="18"/>
              </w:rPr>
              <w:t>6.项目单位应建立落实安全生产管理制度；项目应按规定做好现场安全生产管理及防护。</w:t>
            </w:r>
          </w:p>
          <w:p w14:paraId="1525F4AD">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pacing w:val="-6"/>
                <w:sz w:val="18"/>
                <w:szCs w:val="18"/>
              </w:rPr>
              <w:t>7.项目单位与设计、施工、监理、检测等项目建设各相关单位应按部相关规定对工程造价进行控制，规范工程决策阶段、设计阶段、施工阶段和竣工验收阶段等各参建方工程行为，实现工程概预算控制目标。</w:t>
            </w:r>
          </w:p>
        </w:tc>
        <w:tc>
          <w:tcPr>
            <w:tcW w:w="3825" w:type="dxa"/>
            <w:tcBorders>
              <w:bottom w:val="single" w:color="auto" w:sz="4" w:space="0"/>
            </w:tcBorders>
            <w:noWrap w:val="0"/>
            <w:vAlign w:val="top"/>
          </w:tcPr>
          <w:p w14:paraId="59A4D97F">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1.协助开展。</w:t>
            </w:r>
          </w:p>
          <w:p w14:paraId="7B8F1A01">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按照部的要求，协助部开展对珠江水系中央投资的水运工程建设项目监督检查。</w:t>
            </w:r>
          </w:p>
          <w:p w14:paraId="5AE0455B">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2.监督检查。</w:t>
            </w:r>
          </w:p>
          <w:p w14:paraId="4A493467">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按照《建设工程质量管理条例》《水运建设市场监督管理办法》等开展监督检查。</w:t>
            </w:r>
          </w:p>
          <w:p w14:paraId="44DFF759">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（1）准备阶段。</w:t>
            </w:r>
          </w:p>
          <w:p w14:paraId="7E197006">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①起草《通知》。附检查内容清单/目录。</w:t>
            </w:r>
          </w:p>
          <w:p w14:paraId="502F0056">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②确定检查专家。从专家名录库中随机抽取。</w:t>
            </w:r>
          </w:p>
          <w:p w14:paraId="7852032C">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③确定被检查对象。从珠江水运中央投资的建设项目主体名录库中随机抽取。</w:t>
            </w:r>
          </w:p>
          <w:p w14:paraId="22C3BBAC">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④正式发布通知。向被检查对象及相关单位发出通知。</w:t>
            </w:r>
          </w:p>
          <w:p w14:paraId="2252D7B4">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（2）检查阶段。</w:t>
            </w:r>
          </w:p>
          <w:p w14:paraId="6230B6B3">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①监督检查。根据本项检查所列抽查内容及抽查标准开展监督检查。</w:t>
            </w:r>
          </w:p>
          <w:p w14:paraId="1DF4DBB1">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②工作记录。包括人员签到、会议记录、检查情况记录以及通过照片、视频固化的证据。</w:t>
            </w:r>
          </w:p>
          <w:p w14:paraId="25986D47">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③初步结论。对监督检查情况，形成初步检查结论。</w:t>
            </w:r>
          </w:p>
          <w:p w14:paraId="124C379B">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3.依法处置。</w:t>
            </w:r>
          </w:p>
          <w:p w14:paraId="10C45585">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（1）抓好落实。</w:t>
            </w:r>
          </w:p>
          <w:p w14:paraId="42622C6D">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①出具监督检查报告及处置意见。</w:t>
            </w:r>
          </w:p>
          <w:p w14:paraId="4D944260">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②将检查情况、检查结果和处置决定书面告知被检查对象，并责令迅速整改。</w:t>
            </w:r>
          </w:p>
          <w:p w14:paraId="56E0F0E3">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③将检查情况、检查结果和处置决定向社会公布。</w:t>
            </w:r>
          </w:p>
          <w:p w14:paraId="3960515B">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（2）做好回访。</w:t>
            </w:r>
          </w:p>
          <w:p w14:paraId="784FFCB4">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对需要整改的项目，须督促项目从业主体及时报送整改情况报告，并适时进行现场回访。</w:t>
            </w:r>
          </w:p>
          <w:p w14:paraId="3FA14EE8">
            <w:pPr>
              <w:adjustRightInd w:val="0"/>
              <w:snapToGrid w:val="0"/>
              <w:spacing w:line="240" w:lineRule="exact"/>
              <w:rPr>
                <w:rFonts w:hint="eastAsia" w:ascii="Times New Roman" w:hAnsi="Times New Roman" w:eastAsia="宋体" w:cs="宋体"/>
                <w:b w:val="0"/>
                <w:bCs/>
                <w:spacing w:val="-11"/>
                <w:sz w:val="18"/>
                <w:szCs w:val="18"/>
              </w:rPr>
            </w:pPr>
            <w:r>
              <w:rPr>
                <w:rFonts w:hint="eastAsia" w:ascii="Times New Roman" w:hAnsi="Times New Roman" w:eastAsia="宋体" w:cs="宋体"/>
                <w:b w:val="0"/>
                <w:bCs/>
                <w:spacing w:val="-11"/>
                <w:sz w:val="18"/>
                <w:szCs w:val="18"/>
              </w:rPr>
              <w:t>（3）结果运用。</w:t>
            </w:r>
          </w:p>
          <w:p w14:paraId="0176AA65">
            <w:pPr>
              <w:spacing w:line="240" w:lineRule="exact"/>
              <w:rPr>
                <w:rFonts w:hint="eastAsia" w:ascii="Times New Roman" w:hAnsi="Times New Roman" w:eastAsia="宋体" w:cs="宋体"/>
                <w:b w:val="0"/>
                <w:bCs/>
                <w:sz w:val="18"/>
                <w:szCs w:val="18"/>
              </w:rPr>
            </w:pPr>
            <w:r>
              <w:rPr>
                <w:rFonts w:hint="eastAsia" w:ascii="Times New Roman" w:hAnsi="Times New Roman" w:eastAsia="宋体" w:cs="宋体"/>
                <w:b w:val="0"/>
                <w:bCs/>
                <w:spacing w:val="-11"/>
                <w:sz w:val="18"/>
                <w:szCs w:val="18"/>
              </w:rPr>
              <w:t>将监督检查结果统一录入相关数据库。</w:t>
            </w:r>
          </w:p>
        </w:tc>
        <w:tc>
          <w:tcPr>
            <w:tcW w:w="1085" w:type="dxa"/>
            <w:tcBorders>
              <w:bottom w:val="single" w:color="auto" w:sz="4" w:space="0"/>
            </w:tcBorders>
            <w:noWrap w:val="0"/>
            <w:vAlign w:val="top"/>
          </w:tcPr>
          <w:p w14:paraId="332E75AD">
            <w:pPr>
              <w:adjustRightInd w:val="0"/>
              <w:snapToGrid w:val="0"/>
              <w:spacing w:line="240" w:lineRule="exact"/>
              <w:rPr>
                <w:rFonts w:hint="eastAsia" w:ascii="Times New Roman" w:hAnsi="Times New Roman" w:eastAsia="宋体" w:cs="宋体"/>
                <w:sz w:val="18"/>
                <w:szCs w:val="18"/>
              </w:rPr>
            </w:pPr>
            <w:r>
              <w:rPr>
                <w:rFonts w:hint="eastAsia" w:ascii="Times New Roman" w:hAnsi="Times New Roman" w:eastAsia="宋体" w:cs="宋体"/>
                <w:sz w:val="18"/>
                <w:szCs w:val="18"/>
              </w:rPr>
              <w:t>每年抽查不少于1次，抽查比例不低于1%。</w:t>
            </w:r>
          </w:p>
        </w:tc>
      </w:tr>
    </w:tbl>
    <w:p w14:paraId="78B36F8F">
      <w:pPr>
        <w:pStyle w:val="7"/>
        <w:rPr>
          <w:rFonts w:ascii="Times New Roman" w:hAnsi="Times New Roman"/>
        </w:rPr>
      </w:pPr>
      <w:r>
        <w:rPr>
          <w:rFonts w:ascii="Times New Roman" w:hAnsi="Times New Roman"/>
        </w:rPr>
        <w:br w:type="page"/>
      </w:r>
    </w:p>
    <w:p w14:paraId="06378BB2">
      <w:pPr>
        <w:rPr>
          <w:rFonts w:ascii="Times New Roman" w:hAnsi="Times New Roman"/>
        </w:rPr>
      </w:pPr>
    </w:p>
    <w:p w14:paraId="697531B8">
      <w:pPr>
        <w:pStyle w:val="7"/>
        <w:rPr>
          <w:rFonts w:hint="eastAsia" w:ascii="Times New Roman" w:hAnsi="Times New Roman"/>
        </w:rPr>
        <w:sectPr>
          <w:footerReference r:id="rId3" w:type="default"/>
          <w:pgSz w:w="16838" w:h="11906" w:orient="landscape"/>
          <w:pgMar w:top="1588" w:right="2098" w:bottom="1588" w:left="2098" w:header="851" w:footer="992" w:gutter="0"/>
          <w:pgNumType w:fmt="decimal"/>
          <w:cols w:space="720" w:num="1"/>
          <w:docGrid w:type="lines" w:linePitch="312" w:charSpace="0"/>
        </w:sectPr>
      </w:pPr>
      <w:bookmarkStart w:id="0" w:name="_GoBack"/>
      <w:bookmarkEnd w:id="0"/>
    </w:p>
    <w:p w14:paraId="3FEDCC7C">
      <w:pPr>
        <w:pStyle w:val="7"/>
        <w:ind w:left="0" w:leftChars="0" w:firstLine="0" w:firstLineChars="0"/>
        <w:rPr>
          <w:rFonts w:hint="eastAsia" w:ascii="Times New Roman" w:hAnsi="Times New Roman" w:eastAsia="仿宋_GB2312"/>
          <w:sz w:val="28"/>
          <w:szCs w:val="28"/>
        </w:rPr>
      </w:pPr>
    </w:p>
    <w:p w14:paraId="55664079">
      <w:pPr>
        <w:keepNext w:val="0"/>
        <w:keepLines w:val="0"/>
        <w:pageBreakBefore w:val="0"/>
        <w:widowControl w:val="0"/>
        <w:kinsoku/>
        <w:wordWrap/>
        <w:overflowPunct/>
        <w:topLinePunct w:val="0"/>
        <w:autoSpaceDE/>
        <w:autoSpaceDN w:val="0"/>
        <w:bidi w:val="0"/>
        <w:adjustRightInd w:val="0"/>
        <w:snapToGrid/>
        <w:spacing w:beforeAutospacing="0" w:line="240" w:lineRule="auto"/>
        <w:ind w:right="0" w:rightChars="0"/>
        <w:jc w:val="left"/>
        <w:textAlignment w:val="auto"/>
        <w:outlineLvl w:val="9"/>
        <w:rPr>
          <w:rFonts w:hint="eastAsia" w:ascii="Times New Roman" w:hAnsi="Times New Roman" w:eastAsia="仿宋_GB2312"/>
          <w:lang w:eastAsia="zh-CN"/>
        </w:rPr>
      </w:pPr>
    </w:p>
    <w:p w14:paraId="7FA83C09">
      <w:pPr>
        <w:rPr>
          <w:rFonts w:hint="eastAsia" w:ascii="Times New Roman" w:hAnsi="Times New Roman" w:eastAsia="仿宋_GB2312"/>
          <w:sz w:val="32"/>
          <w:szCs w:val="32"/>
        </w:rPr>
      </w:pPr>
    </w:p>
    <w:p w14:paraId="19E5BFF6">
      <w:pPr>
        <w:rPr>
          <w:rFonts w:hint="eastAsia" w:ascii="Times New Roman" w:hAnsi="Times New Roman" w:eastAsia="仿宋_GB2312"/>
          <w:sz w:val="32"/>
          <w:szCs w:val="32"/>
        </w:rPr>
      </w:pPr>
    </w:p>
    <w:p w14:paraId="36DDF9BD">
      <w:pPr>
        <w:rPr>
          <w:rFonts w:hint="eastAsia" w:ascii="Times New Roman" w:hAnsi="Times New Roman" w:eastAsia="仿宋_GB2312"/>
          <w:sz w:val="32"/>
          <w:szCs w:val="32"/>
        </w:rPr>
      </w:pPr>
    </w:p>
    <w:p w14:paraId="58F34B22">
      <w:pPr>
        <w:rPr>
          <w:rFonts w:hint="eastAsia" w:ascii="Times New Roman" w:hAnsi="Times New Roman" w:eastAsia="仿宋_GB2312"/>
          <w:sz w:val="32"/>
          <w:szCs w:val="32"/>
        </w:rPr>
      </w:pPr>
    </w:p>
    <w:p w14:paraId="6BF53119">
      <w:pPr>
        <w:rPr>
          <w:rFonts w:hint="eastAsia" w:ascii="Times New Roman" w:hAnsi="Times New Roman" w:eastAsia="仿宋_GB2312"/>
          <w:sz w:val="32"/>
          <w:szCs w:val="32"/>
        </w:rPr>
      </w:pPr>
    </w:p>
    <w:p w14:paraId="46670EED">
      <w:pPr>
        <w:rPr>
          <w:rFonts w:hint="eastAsia" w:ascii="Times New Roman" w:hAnsi="Times New Roman" w:eastAsia="仿宋_GB2312"/>
          <w:sz w:val="32"/>
          <w:szCs w:val="32"/>
        </w:rPr>
      </w:pPr>
    </w:p>
    <w:p w14:paraId="1CAE2E4A">
      <w:pPr>
        <w:rPr>
          <w:rFonts w:hint="eastAsia" w:ascii="Times New Roman" w:hAnsi="Times New Roman" w:eastAsia="仿宋_GB2312"/>
          <w:sz w:val="32"/>
          <w:szCs w:val="32"/>
        </w:rPr>
      </w:pPr>
    </w:p>
    <w:p w14:paraId="473CBAC7">
      <w:pPr>
        <w:rPr>
          <w:rFonts w:hint="eastAsia" w:ascii="Times New Roman" w:hAnsi="Times New Roman" w:eastAsia="仿宋_GB2312"/>
          <w:sz w:val="32"/>
          <w:szCs w:val="32"/>
        </w:rPr>
      </w:pPr>
    </w:p>
    <w:p w14:paraId="70D0CCE4">
      <w:pPr>
        <w:rPr>
          <w:rFonts w:hint="eastAsia" w:ascii="Times New Roman" w:hAnsi="Times New Roman" w:eastAsia="仿宋_GB2312"/>
          <w:sz w:val="32"/>
          <w:szCs w:val="32"/>
        </w:rPr>
      </w:pPr>
    </w:p>
    <w:p w14:paraId="7E421C06">
      <w:pPr>
        <w:rPr>
          <w:rFonts w:hint="eastAsia" w:ascii="Times New Roman" w:hAnsi="Times New Roman" w:eastAsia="仿宋_GB2312"/>
          <w:sz w:val="32"/>
          <w:szCs w:val="32"/>
        </w:rPr>
      </w:pPr>
    </w:p>
    <w:p w14:paraId="17CEDBB2">
      <w:pPr>
        <w:rPr>
          <w:rFonts w:hint="eastAsia" w:ascii="Times New Roman" w:hAnsi="Times New Roman" w:eastAsia="仿宋_GB2312"/>
          <w:sz w:val="32"/>
          <w:szCs w:val="32"/>
        </w:rPr>
      </w:pPr>
    </w:p>
    <w:p w14:paraId="611ED162">
      <w:pPr>
        <w:rPr>
          <w:rFonts w:hint="eastAsia" w:ascii="Times New Roman" w:hAnsi="Times New Roman" w:eastAsia="仿宋_GB2312"/>
          <w:sz w:val="32"/>
          <w:szCs w:val="32"/>
        </w:rPr>
      </w:pPr>
    </w:p>
    <w:p w14:paraId="0B87DABB">
      <w:pPr>
        <w:rPr>
          <w:rFonts w:hint="eastAsia" w:ascii="Times New Roman" w:hAnsi="Times New Roman" w:eastAsia="仿宋_GB2312"/>
          <w:sz w:val="32"/>
          <w:szCs w:val="32"/>
        </w:rPr>
      </w:pPr>
    </w:p>
    <w:p w14:paraId="379358F6">
      <w:pPr>
        <w:rPr>
          <w:rFonts w:hint="eastAsia" w:ascii="Times New Roman" w:hAnsi="Times New Roman" w:eastAsia="仿宋_GB2312"/>
          <w:sz w:val="28"/>
          <w:szCs w:val="28"/>
        </w:rPr>
      </w:pPr>
    </w:p>
    <w:sectPr>
      <w:footerReference r:id="rId4" w:type="even"/>
      <w:pgSz w:w="11906" w:h="16838"/>
      <w:pgMar w:top="2098" w:right="1588" w:bottom="20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F96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45B5A3">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0+heIBAADMAwAADgAAAGRycy9lMm9Eb2MueG1srVNNrtMwEN4jcQfL&#10;e5q0SK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30+heIBAADMAwAADgAA&#10;AAAAAAABACAAAAAeAQAAZHJzL2Uyb0RvYy54bWxQSwUGAAAAAAYABgBZAQAAcgUAAAAA&#10;">
              <v:fill on="f" focussize="0,0"/>
              <v:stroke on="f"/>
              <v:imagedata o:title=""/>
              <o:lock v:ext="edit" aspectratio="f"/>
              <v:textbox inset="0mm,0mm,0mm,0mm" style="mso-fit-shape-to-text:t;">
                <w:txbxContent>
                  <w:p w14:paraId="5145B5A3">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56D1">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1712ECE5">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1.6:8088/seeyon/officeservlet"/>
  </w:docVars>
  <w:rsids>
    <w:rsidRoot w:val="005C0FE3"/>
    <w:rsid w:val="0003325E"/>
    <w:rsid w:val="000633C2"/>
    <w:rsid w:val="00093D25"/>
    <w:rsid w:val="000A7005"/>
    <w:rsid w:val="000C6A5C"/>
    <w:rsid w:val="001D2F27"/>
    <w:rsid w:val="001E36AC"/>
    <w:rsid w:val="002052C4"/>
    <w:rsid w:val="00223E9C"/>
    <w:rsid w:val="002302D4"/>
    <w:rsid w:val="002B4979"/>
    <w:rsid w:val="002D0981"/>
    <w:rsid w:val="002D5DE5"/>
    <w:rsid w:val="002E785F"/>
    <w:rsid w:val="00310263"/>
    <w:rsid w:val="003304E8"/>
    <w:rsid w:val="003371B3"/>
    <w:rsid w:val="00340BC8"/>
    <w:rsid w:val="00363D53"/>
    <w:rsid w:val="003F609B"/>
    <w:rsid w:val="00463A9C"/>
    <w:rsid w:val="004726F3"/>
    <w:rsid w:val="004902EA"/>
    <w:rsid w:val="00520184"/>
    <w:rsid w:val="00543926"/>
    <w:rsid w:val="00592D65"/>
    <w:rsid w:val="005C0FE3"/>
    <w:rsid w:val="005D0845"/>
    <w:rsid w:val="006107C9"/>
    <w:rsid w:val="00634954"/>
    <w:rsid w:val="00636671"/>
    <w:rsid w:val="0064202C"/>
    <w:rsid w:val="00680ED5"/>
    <w:rsid w:val="006C448B"/>
    <w:rsid w:val="006D45F9"/>
    <w:rsid w:val="006F2E91"/>
    <w:rsid w:val="00727723"/>
    <w:rsid w:val="007526C4"/>
    <w:rsid w:val="007F2CF1"/>
    <w:rsid w:val="00852665"/>
    <w:rsid w:val="00860541"/>
    <w:rsid w:val="00961BF8"/>
    <w:rsid w:val="00967F55"/>
    <w:rsid w:val="00975186"/>
    <w:rsid w:val="00996E57"/>
    <w:rsid w:val="009D0189"/>
    <w:rsid w:val="009F1D63"/>
    <w:rsid w:val="00A40272"/>
    <w:rsid w:val="00AB271D"/>
    <w:rsid w:val="00AB6312"/>
    <w:rsid w:val="00AE3C6D"/>
    <w:rsid w:val="00AE4624"/>
    <w:rsid w:val="00AF2FF0"/>
    <w:rsid w:val="00B447AB"/>
    <w:rsid w:val="00B4564E"/>
    <w:rsid w:val="00B50DA5"/>
    <w:rsid w:val="00B524B3"/>
    <w:rsid w:val="00B73467"/>
    <w:rsid w:val="00B86710"/>
    <w:rsid w:val="00B870B1"/>
    <w:rsid w:val="00B9079C"/>
    <w:rsid w:val="00BC07E9"/>
    <w:rsid w:val="00C361E6"/>
    <w:rsid w:val="00C4154A"/>
    <w:rsid w:val="00C5544B"/>
    <w:rsid w:val="00C94978"/>
    <w:rsid w:val="00CC790F"/>
    <w:rsid w:val="00CE5BBA"/>
    <w:rsid w:val="00D518EC"/>
    <w:rsid w:val="00D777B3"/>
    <w:rsid w:val="00D96B4C"/>
    <w:rsid w:val="00DE6F15"/>
    <w:rsid w:val="00E051CE"/>
    <w:rsid w:val="00E31EF4"/>
    <w:rsid w:val="00E44E66"/>
    <w:rsid w:val="00E66C64"/>
    <w:rsid w:val="00EC1623"/>
    <w:rsid w:val="00EC26AD"/>
    <w:rsid w:val="00F16D8F"/>
    <w:rsid w:val="00F22811"/>
    <w:rsid w:val="00F4297D"/>
    <w:rsid w:val="00FB5B99"/>
    <w:rsid w:val="00FC6A50"/>
    <w:rsid w:val="23746A36"/>
    <w:rsid w:val="3ADC656C"/>
    <w:rsid w:val="3EF550C8"/>
    <w:rsid w:val="5C702234"/>
    <w:rsid w:val="637F3391"/>
    <w:rsid w:val="6B6205EE"/>
    <w:rsid w:val="7A304404"/>
    <w:rsid w:val="FEAF3C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0"/>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w:basedOn w:val="1"/>
    <w:qFormat/>
    <w:uiPriority w:val="0"/>
    <w:pPr>
      <w:spacing w:after="120" w:afterLines="0" w:afterAutospacing="0" w:line="240" w:lineRule="atLeast"/>
    </w:pPr>
    <w:rPr>
      <w:rFonts w:ascii="Times New Roman" w:hAnsi="Times New Roman" w:eastAsia="仿宋_GB2312" w:cs="Times New Roman"/>
      <w:spacing w:val="-6"/>
      <w:sz w:val="32"/>
      <w:szCs w:val="20"/>
    </w:rPr>
  </w:style>
  <w:style w:type="paragraph" w:styleId="3">
    <w:name w:val="Date"/>
    <w:basedOn w:val="1"/>
    <w:next w:val="1"/>
    <w:unhideWhenUsed/>
    <w:qFormat/>
    <w:uiPriority w:val="99"/>
    <w:pPr>
      <w:ind w:left="100" w:leftChars="2500"/>
    </w:pPr>
  </w:style>
  <w:style w:type="paragraph" w:styleId="4">
    <w:name w:val="Balloon Text"/>
    <w:basedOn w:val="1"/>
    <w:unhideWhenUsed/>
    <w:qFormat/>
    <w:uiPriority w:val="99"/>
    <w:rPr>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spacing w:line="240" w:lineRule="atLeast"/>
      <w:ind w:left="420" w:leftChars="200"/>
    </w:pPr>
    <w:rPr>
      <w:rFonts w:ascii="Times New Roman" w:hAnsi="Times New Roman" w:eastAsia="仿宋_GB2312" w:cs="Times New Roman"/>
      <w:spacing w:val="-6"/>
      <w:sz w:val="32"/>
      <w:szCs w:val="20"/>
    </w:rPr>
  </w:style>
  <w:style w:type="character" w:styleId="10">
    <w:name w:val="page number"/>
    <w:basedOn w:val="9"/>
    <w:unhideWhenUsed/>
    <w:qFormat/>
    <w:uiPriority w:val="99"/>
  </w:style>
  <w:style w:type="paragraph" w:customStyle="1" w:styleId="11">
    <w:name w:val=" Char Char Char Char Char Char1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Company>ZHJ</Company>
  <Pages>10</Pages>
  <Words>8067</Words>
  <Characters>8452</Characters>
  <Lines>1</Lines>
  <Paragraphs>1</Paragraphs>
  <TotalTime>27.3333333333333</TotalTime>
  <ScaleCrop>false</ScaleCrop>
  <LinksUpToDate>false</LinksUpToDate>
  <CharactersWithSpaces>8455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2016-04-18T11:31:00Z</dcterms:created>
  <dc:creator>Administrator</dc:creator>
  <cp:lastModifiedBy>lychee</cp:lastModifiedBy>
  <cp:lastPrinted>2009-06-11T09:05:00Z</cp:lastPrinted>
  <dcterms:modified xsi:type="dcterms:W3CDTF">2025-02-13T07:24:19Z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74FF83E5C84F41A2B06962BB5986D892_13</vt:lpwstr>
  </property>
  <property fmtid="{D5CDD505-2E9C-101B-9397-08002B2CF9AE}" pid="4" name="KSOTemplateDocerSaveRecord">
    <vt:lpwstr>eyJoZGlkIjoiZWM0N2ZjMDE4MTRjZjY1YmRjZWE2YWViZDlhOTAyMDciLCJ1c2VySWQiOiIxNTcwMDE2NzY0In0=</vt:lpwstr>
  </property>
</Properties>
</file>