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附表1</w:t>
      </w:r>
    </w:p>
    <w:p>
      <w:pPr>
        <w:jc w:val="center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运输经营人生产经营情况月度报表</w:t>
      </w:r>
    </w:p>
    <w:p>
      <w:pPr>
        <w:tabs>
          <w:tab w:val="left" w:pos="2772"/>
          <w:tab w:val="left" w:pos="5809"/>
        </w:tabs>
        <w:jc w:val="left"/>
        <w:rPr>
          <w:rFonts w:ascii="宋体" w:hAnsi="宋体" w:eastAsia="宋体" w:cs="Times New Roman"/>
          <w:szCs w:val="21"/>
          <w:u w:val="single"/>
        </w:rPr>
      </w:pPr>
      <w:r>
        <w:rPr>
          <w:rFonts w:hint="eastAsia" w:ascii="宋体" w:hAnsi="宋体" w:eastAsia="宋体" w:cs="Times New Roman"/>
          <w:szCs w:val="21"/>
        </w:rPr>
        <w:t>企业名称：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                         </w:t>
      </w:r>
      <w:r>
        <w:rPr>
          <w:rFonts w:hint="eastAsia" w:ascii="宋体" w:hAnsi="宋体" w:eastAsia="宋体" w:cs="Times New Roman"/>
          <w:szCs w:val="21"/>
        </w:rPr>
        <w:t xml:space="preserve">            填报日期：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</w:t>
      </w:r>
    </w:p>
    <w:tbl>
      <w:tblPr>
        <w:tblStyle w:val="4"/>
        <w:tblW w:w="87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5"/>
        <w:gridCol w:w="37"/>
        <w:gridCol w:w="2231"/>
        <w:gridCol w:w="24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船舶拥有情况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52" w:hanging="52" w:hangingChars="29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船舶类型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9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艘数（艘）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hanging="18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载重吨（吨）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3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1危险品船舶总计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80" w:firstLineChars="1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其中：化学品船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720" w:firstLineChars="4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成品油船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720" w:firstLineChars="4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原油船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720" w:firstLineChars="4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液化气体船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2停航船舶及其原因</w:t>
            </w:r>
          </w:p>
        </w:tc>
        <w:tc>
          <w:tcPr>
            <w:tcW w:w="4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运输价格情况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1原油运输价格（元/吨）</w:t>
            </w:r>
          </w:p>
        </w:tc>
        <w:tc>
          <w:tcPr>
            <w:tcW w:w="4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2成品油运输价格（元/吨）</w:t>
            </w:r>
          </w:p>
        </w:tc>
        <w:tc>
          <w:tcPr>
            <w:tcW w:w="4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3浓硫酸、盐酸运输价格（元/吨）</w:t>
            </w:r>
          </w:p>
        </w:tc>
        <w:tc>
          <w:tcPr>
            <w:tcW w:w="4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4液碱运输价格（元/吨）</w:t>
            </w:r>
          </w:p>
        </w:tc>
        <w:tc>
          <w:tcPr>
            <w:tcW w:w="4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5其他货品运输价格（注明货种及价格）</w:t>
            </w:r>
          </w:p>
        </w:tc>
        <w:tc>
          <w:tcPr>
            <w:tcW w:w="4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hanging="62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船舶运输生产情况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3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1货运量（万吨）</w:t>
            </w:r>
          </w:p>
        </w:tc>
        <w:tc>
          <w:tcPr>
            <w:tcW w:w="4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3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2货物周转量（万吨公里）</w:t>
            </w:r>
          </w:p>
        </w:tc>
        <w:tc>
          <w:tcPr>
            <w:tcW w:w="4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3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3燃油消耗量（吨）</w:t>
            </w:r>
          </w:p>
        </w:tc>
        <w:tc>
          <w:tcPr>
            <w:tcW w:w="4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3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4船舶周转率</w:t>
            </w:r>
          </w:p>
        </w:tc>
        <w:tc>
          <w:tcPr>
            <w:tcW w:w="4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3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5主要经营航线（注明装、卸货港口）</w:t>
            </w:r>
          </w:p>
        </w:tc>
        <w:tc>
          <w:tcPr>
            <w:tcW w:w="4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企业经营财务情况</w:t>
            </w:r>
          </w:p>
        </w:tc>
      </w:tr>
      <w:tr>
        <w:trPr>
          <w:trHeight w:val="312" w:hRule="atLeast"/>
          <w:jc w:val="center"/>
        </w:trPr>
        <w:tc>
          <w:tcPr>
            <w:tcW w:w="4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1主营业务收入（万元）</w:t>
            </w:r>
          </w:p>
        </w:tc>
        <w:tc>
          <w:tcPr>
            <w:tcW w:w="4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2主营业务成本（万元）</w:t>
            </w:r>
          </w:p>
        </w:tc>
        <w:tc>
          <w:tcPr>
            <w:tcW w:w="4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80" w:firstLineChars="1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其中：燃油成本（万元）</w:t>
            </w:r>
          </w:p>
        </w:tc>
        <w:tc>
          <w:tcPr>
            <w:tcW w:w="4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720" w:firstLineChars="4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人力成本（万元）</w:t>
            </w:r>
          </w:p>
        </w:tc>
        <w:tc>
          <w:tcPr>
            <w:tcW w:w="4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720" w:firstLineChars="4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税费成本（万元）</w:t>
            </w:r>
          </w:p>
        </w:tc>
        <w:tc>
          <w:tcPr>
            <w:tcW w:w="4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720" w:firstLineChars="4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税费成本其他成本（万元）</w:t>
            </w:r>
          </w:p>
        </w:tc>
        <w:tc>
          <w:tcPr>
            <w:tcW w:w="4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3主营业务利润（万元）</w:t>
            </w:r>
          </w:p>
        </w:tc>
        <w:tc>
          <w:tcPr>
            <w:tcW w:w="4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8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安全管理情况</w:t>
            </w:r>
          </w:p>
        </w:tc>
      </w:tr>
      <w:tr>
        <w:trPr>
          <w:trHeight w:val="312" w:hRule="atLeast"/>
          <w:jc w:val="center"/>
        </w:trPr>
        <w:tc>
          <w:tcPr>
            <w:tcW w:w="4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 隐患排查次数，是否整改</w:t>
            </w:r>
          </w:p>
        </w:tc>
        <w:tc>
          <w:tcPr>
            <w:tcW w:w="4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 开展安全管理学习、培训次数</w:t>
            </w:r>
          </w:p>
        </w:tc>
        <w:tc>
          <w:tcPr>
            <w:tcW w:w="4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 开展应急演练类型与次数</w:t>
            </w:r>
          </w:p>
        </w:tc>
        <w:tc>
          <w:tcPr>
            <w:tcW w:w="4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4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80" w:hanging="180" w:hangingChars="1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 是否发生违法违规行为受到交通、海事执法部门处罚</w:t>
            </w:r>
          </w:p>
        </w:tc>
        <w:tc>
          <w:tcPr>
            <w:tcW w:w="4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" w:firstLineChars="6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简要情况说明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spacing w:line="240" w:lineRule="exact"/>
              <w:ind w:firstLine="3150" w:firstLineChars="175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填表人：                  联系电话：    </w:t>
            </w:r>
          </w:p>
        </w:tc>
      </w:tr>
    </w:tbl>
    <w:p>
      <w:pPr>
        <w:spacing w:line="240" w:lineRule="exact"/>
        <w:ind w:firstLine="567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备注：1.统计范围为珠江水系省际危险品运输船舶；2. 运输经营人应在每月10前，在珠江航运信息服务系</w:t>
      </w:r>
      <w:r>
        <w:rPr>
          <w:rFonts w:hint="eastAsia" w:ascii="宋体" w:hAnsi="宋体" w:eastAsia="宋体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统（</w:t>
      </w:r>
      <w:r>
        <w:fldChar w:fldCharType="begin"/>
      </w:r>
      <w:r>
        <w:instrText xml:space="preserve"> HYPERLINK "https://zjhyxx.mot.gov.cn/" </w:instrText>
      </w:r>
      <w:r>
        <w:fldChar w:fldCharType="separate"/>
      </w:r>
      <w:r>
        <w:rPr>
          <w:rFonts w:ascii="宋体" w:hAnsi="宋体" w:eastAsia="宋体" w:cs="Times New Roman"/>
          <w:color w:val="000000" w:themeColor="text1"/>
          <w:sz w:val="18"/>
          <w:szCs w:val="18"/>
          <w:u w:val="single"/>
          <w14:textFill>
            <w14:solidFill>
              <w14:schemeClr w14:val="tx1"/>
            </w14:solidFill>
          </w14:textFill>
        </w:rPr>
        <w:t>https://zjhyxx.mot.gov.cn/#</w:t>
      </w:r>
      <w:r>
        <w:rPr>
          <w:rFonts w:ascii="宋体" w:hAnsi="宋体" w:eastAsia="宋体" w:cs="Times New Roman"/>
          <w:color w:val="000000" w:themeColor="text1"/>
          <w:sz w:val="18"/>
          <w:szCs w:val="18"/>
          <w:u w:val="singl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Times New Roman"/>
          <w:sz w:val="18"/>
          <w:szCs w:val="18"/>
        </w:rPr>
        <w:t>上填写每月生产经营情况。； 3.相关数据仅作为经营资质跟踪监管之用，将为企业严格保密。</w:t>
      </w:r>
    </w:p>
    <w:p>
      <w:pPr>
        <w:widowControl/>
        <w:jc w:val="left"/>
        <w:rPr>
          <w:rFonts w:ascii="宋体" w:hAnsi="宋体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br w:type="page"/>
      </w:r>
    </w:p>
    <w:p>
      <w:pPr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附表2</w:t>
      </w:r>
    </w:p>
    <w:p>
      <w:pPr>
        <w:ind w:firstLine="2520" w:firstLineChars="7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运输经营人经营资质检查表</w:t>
      </w:r>
    </w:p>
    <w:p>
      <w:pPr>
        <w:rPr>
          <w:rFonts w:ascii="宋体" w:hAnsi="宋体" w:eastAsia="宋体" w:cs="方正小标宋简体"/>
          <w:szCs w:val="21"/>
          <w:u w:val="single"/>
        </w:rPr>
      </w:pPr>
      <w:r>
        <w:rPr>
          <w:rFonts w:hint="eastAsia" w:ascii="宋体" w:hAnsi="宋体" w:eastAsia="宋体" w:cs="Times New Roman"/>
          <w:szCs w:val="21"/>
        </w:rPr>
        <w:t>企业名称：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                  </w:t>
      </w:r>
      <w:r>
        <w:rPr>
          <w:rFonts w:hint="eastAsia" w:ascii="宋体" w:hAnsi="宋体" w:eastAsia="宋体" w:cs="Times New Roman"/>
          <w:szCs w:val="21"/>
        </w:rPr>
        <w:t xml:space="preserve">    检查单位：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              </w:t>
      </w:r>
    </w:p>
    <w:tbl>
      <w:tblPr>
        <w:tblStyle w:val="4"/>
        <w:tblW w:w="9453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56"/>
        <w:gridCol w:w="2634"/>
        <w:gridCol w:w="1326"/>
        <w:gridCol w:w="720"/>
        <w:gridCol w:w="1425"/>
        <w:gridCol w:w="126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3" w:type="dxa"/>
            <w:gridSpan w:val="7"/>
            <w:tcBorders>
              <w:top w:val="double" w:color="auto" w:sz="4" w:space="0"/>
              <w:left w:val="double" w:color="auto" w:sz="4" w:space="0"/>
              <w:bottom w:val="single" w:color="auto" w:sz="2" w:space="0"/>
              <w:right w:val="doub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检 查 内 容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（检查适用的项目，合格的填“√”，不合格的填“×”，不适用的划“-”）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" w:hRule="atLeast"/>
        </w:trPr>
        <w:tc>
          <w:tcPr>
            <w:tcW w:w="732" w:type="dxa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序号</w:t>
            </w:r>
          </w:p>
        </w:tc>
        <w:tc>
          <w:tcPr>
            <w:tcW w:w="13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46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内  容</w:t>
            </w:r>
          </w:p>
        </w:tc>
        <w:tc>
          <w:tcPr>
            <w:tcW w:w="1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不符合简述</w:t>
            </w: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处理意见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732" w:type="dxa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企业资质</w:t>
            </w:r>
          </w:p>
        </w:tc>
        <w:tc>
          <w:tcPr>
            <w:tcW w:w="46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□国内水路运输经营许可证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□营业执照  □安全与防污染符合证明及年度签注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□企业安全生产标准化建设等级证明</w:t>
            </w:r>
          </w:p>
        </w:tc>
        <w:tc>
          <w:tcPr>
            <w:tcW w:w="1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32" w:type="dxa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船舶资质</w:t>
            </w:r>
          </w:p>
        </w:tc>
        <w:tc>
          <w:tcPr>
            <w:tcW w:w="46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□检验证书     □所有权登记证书     □国籍证书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□船舶营运证       □安全管理证书 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□委托安全管理协议     □光船租赁登记证明</w:t>
            </w:r>
          </w:p>
        </w:tc>
        <w:tc>
          <w:tcPr>
            <w:tcW w:w="1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32" w:type="dxa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管理人员</w:t>
            </w:r>
          </w:p>
        </w:tc>
        <w:tc>
          <w:tcPr>
            <w:tcW w:w="46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□管理人员在岗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□按规定足额配备专职安全生产管理人员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□具有与所经营范围相适应的船长、轮机长的从业资历</w:t>
            </w:r>
          </w:p>
        </w:tc>
        <w:tc>
          <w:tcPr>
            <w:tcW w:w="1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32" w:type="dxa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</w:t>
            </w:r>
          </w:p>
        </w:tc>
        <w:tc>
          <w:tcPr>
            <w:tcW w:w="13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船员管理</w:t>
            </w:r>
          </w:p>
        </w:tc>
        <w:tc>
          <w:tcPr>
            <w:tcW w:w="46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□签订一年以上劳动合同的高级船员占比不低于50%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□安全培训教育台账、档案，准确记录培训情况</w:t>
            </w:r>
          </w:p>
        </w:tc>
        <w:tc>
          <w:tcPr>
            <w:tcW w:w="1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732" w:type="dxa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5</w:t>
            </w:r>
          </w:p>
        </w:tc>
        <w:tc>
          <w:tcPr>
            <w:tcW w:w="13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运力资质</w:t>
            </w:r>
          </w:p>
        </w:tc>
        <w:tc>
          <w:tcPr>
            <w:tcW w:w="46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80" w:hanging="180" w:hangingChars="1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□省际成品油船和化学品船船舶运力最低3000总吨，原油船最低15000总吨，液化气体船最低2000立方米。</w:t>
            </w:r>
          </w:p>
        </w:tc>
        <w:tc>
          <w:tcPr>
            <w:tcW w:w="1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732" w:type="dxa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6</w:t>
            </w:r>
          </w:p>
        </w:tc>
        <w:tc>
          <w:tcPr>
            <w:tcW w:w="13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管理制度</w:t>
            </w:r>
          </w:p>
        </w:tc>
        <w:tc>
          <w:tcPr>
            <w:tcW w:w="46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□安全生产责任制     □安全管理制度   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□经营管理制度       □安全操作规程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□台账整理完善有序,更新及时</w:t>
            </w:r>
          </w:p>
        </w:tc>
        <w:tc>
          <w:tcPr>
            <w:tcW w:w="1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732" w:type="dxa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7</w:t>
            </w:r>
          </w:p>
        </w:tc>
        <w:tc>
          <w:tcPr>
            <w:tcW w:w="13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事故应急</w:t>
            </w:r>
          </w:p>
        </w:tc>
        <w:tc>
          <w:tcPr>
            <w:tcW w:w="46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□制定相应的突发事件应急预案，有相应的应急保障措施</w:t>
            </w:r>
          </w:p>
          <w:p>
            <w:pPr>
              <w:ind w:left="180" w:hanging="180" w:hangingChars="1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□结合实际将应急预案分为综合、专项应急预案和现场处置方案</w:t>
            </w:r>
          </w:p>
          <w:p>
            <w:pPr>
              <w:ind w:left="180" w:hanging="180" w:hangingChars="1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□开展应急预案培训，熟悉应急预案内容、职责、程序和处置方案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□按计划组织开展应急预案演练 </w:t>
            </w:r>
          </w:p>
        </w:tc>
        <w:tc>
          <w:tcPr>
            <w:tcW w:w="1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32" w:type="dxa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8</w:t>
            </w:r>
          </w:p>
        </w:tc>
        <w:tc>
          <w:tcPr>
            <w:tcW w:w="13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安全投入</w:t>
            </w:r>
          </w:p>
        </w:tc>
        <w:tc>
          <w:tcPr>
            <w:tcW w:w="46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□按规定足额提取安全生产费用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□监督安全专项经费使用情况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□建立安全费用使用台账</w:t>
            </w:r>
          </w:p>
        </w:tc>
        <w:tc>
          <w:tcPr>
            <w:tcW w:w="1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32" w:type="dxa"/>
            <w:tcBorders>
              <w:top w:val="single" w:color="auto" w:sz="2" w:space="0"/>
              <w:left w:val="double" w:color="auto" w:sz="4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9</w:t>
            </w:r>
          </w:p>
        </w:tc>
        <w:tc>
          <w:tcPr>
            <w:tcW w:w="1356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检查制度</w:t>
            </w:r>
          </w:p>
        </w:tc>
        <w:tc>
          <w:tcPr>
            <w:tcW w:w="4680" w:type="dxa"/>
            <w:gridSpan w:val="3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ind w:left="180" w:hanging="180" w:hangingChars="1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□企业内部检查制度（含检查范围、内容、职责、频率和纠正措施）</w:t>
            </w:r>
          </w:p>
          <w:p>
            <w:pPr>
              <w:ind w:left="180" w:hanging="180" w:hangingChars="1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□查验托运人身份信息及托运货物信息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□安全隐患排查记录和处理台账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□值班安排记录</w:t>
            </w:r>
          </w:p>
        </w:tc>
        <w:tc>
          <w:tcPr>
            <w:tcW w:w="1425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453" w:type="dxa"/>
            <w:gridSpan w:val="7"/>
            <w:tcBorders>
              <w:top w:val="double" w:color="auto" w:sz="4" w:space="0"/>
              <w:left w:val="double" w:color="auto" w:sz="4" w:space="0"/>
              <w:bottom w:val="single" w:color="auto" w:sz="2" w:space="0"/>
              <w:right w:val="doub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采 取 措 施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（适用的在“□”内填“√”，不适用的填“×”）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8" w:type="dxa"/>
            <w:gridSpan w:val="4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措  施</w:t>
            </w:r>
          </w:p>
        </w:tc>
        <w:tc>
          <w:tcPr>
            <w:tcW w:w="34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备  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6048" w:type="dxa"/>
            <w:gridSpan w:val="4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□当场纠正           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□限期整改  （整改期限：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34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3" w:type="dxa"/>
            <w:gridSpan w:val="7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doub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检查情况概述：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9453" w:type="dxa"/>
            <w:gridSpan w:val="7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doub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存在问题及整改意见：</w:t>
            </w:r>
          </w:p>
          <w:p>
            <w:pPr>
              <w:tabs>
                <w:tab w:val="left" w:pos="2325"/>
              </w:tabs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4722" w:type="dxa"/>
            <w:gridSpan w:val="3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检查人员（签字）：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 xml:space="preserve">                               </w:t>
            </w:r>
          </w:p>
          <w:p>
            <w:pPr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                  </w:t>
            </w:r>
          </w:p>
          <w:p>
            <w:pPr>
              <w:jc w:val="right"/>
              <w:rPr>
                <w:rFonts w:ascii="宋体" w:hAnsi="宋体" w:eastAsia="宋体" w:cs="Times New Roman"/>
                <w:sz w:val="18"/>
                <w:szCs w:val="18"/>
                <w:u w:val="single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 xml:space="preserve">    　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 xml:space="preserve">    　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日</w:t>
            </w:r>
          </w:p>
          <w:p>
            <w:pPr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47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法人代表/总经理（签字）：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</w:t>
            </w:r>
          </w:p>
          <w:p>
            <w:pPr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       </w:t>
            </w:r>
          </w:p>
          <w:p>
            <w:pPr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（企业盖章）        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 xml:space="preserve">   　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 xml:space="preserve">  　 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日</w:t>
            </w:r>
          </w:p>
          <w:p>
            <w:pPr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8" w:hRule="atLeast"/>
        </w:trPr>
        <w:tc>
          <w:tcPr>
            <w:tcW w:w="9453" w:type="dxa"/>
            <w:gridSpan w:val="7"/>
            <w:tcBorders>
              <w:top w:val="single" w:color="auto" w:sz="2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跟踪检查情况：                                                    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ind w:right="360" w:firstLine="6120" w:firstLineChars="34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复查人员（签字）：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 xml:space="preserve"> 　　 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u w:val="single"/>
              </w:rPr>
              <w:t xml:space="preserve">  　　 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9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2021-08-06T09:57:20Z</dcterms:created>
  <dc:creator>pc20181123bo3</dc:creator>
  <cp:lastModifiedBy>昱</cp:lastModifiedBy>
  <dcterms:modified xsi:type="dcterms:W3CDTF">2021-08-06T09:57:23Z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268651627767484584EA2A0D100CBBB1</vt:lpwstr>
  </property>
</Properties>
</file>